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C37A1" w14:textId="77777777" w:rsidR="00C84A8D" w:rsidRPr="00CF35CB" w:rsidRDefault="00100C35">
      <w:pPr>
        <w:jc w:val="center"/>
        <w:rPr>
          <w:lang w:val="es-CL"/>
        </w:rPr>
      </w:pPr>
      <w:r w:rsidRPr="00CF35CB">
        <w:rPr>
          <w:b/>
          <w:color w:val="1F4E79"/>
          <w:sz w:val="34"/>
          <w:lang w:val="es-CL"/>
        </w:rPr>
        <w:t>Modelo de costos para la mitigación del fraude en servicios móviles y su recuperación a través del servicio SMS A2P</w:t>
      </w:r>
    </w:p>
    <w:p w14:paraId="25CEC24E" w14:textId="77777777" w:rsidR="00C84A8D" w:rsidRPr="00CF35CB" w:rsidRDefault="00100C35">
      <w:pPr>
        <w:jc w:val="center"/>
        <w:rPr>
          <w:lang w:val="es-CL"/>
        </w:rPr>
      </w:pPr>
      <w:r w:rsidRPr="00CF35CB">
        <w:rPr>
          <w:i/>
          <w:sz w:val="24"/>
          <w:lang w:val="es-CL"/>
        </w:rPr>
        <w:t>Informe técnico y económico de soporte regulatorio que acompaña al modelo de empresa eficiente móvil con módulo de fraude</w:t>
      </w:r>
    </w:p>
    <w:p w14:paraId="0800E143" w14:textId="77777777" w:rsidR="00C84A8D" w:rsidRPr="00CF35CB" w:rsidRDefault="00C84A8D">
      <w:pPr>
        <w:rPr>
          <w:lang w:val="es-CL"/>
        </w:rPr>
      </w:pPr>
    </w:p>
    <w:p w14:paraId="24CE804A" w14:textId="77777777" w:rsidR="00C84A8D" w:rsidRPr="00CF35CB" w:rsidRDefault="00100C35">
      <w:pPr>
        <w:pStyle w:val="Ttulo1"/>
        <w:rPr>
          <w:lang w:val="es-CL"/>
        </w:rPr>
      </w:pPr>
      <w:r w:rsidRPr="00CF35CB">
        <w:rPr>
          <w:color w:val="1F4E79"/>
          <w:lang w:val="es-CL"/>
        </w:rPr>
        <w:t>1. Objeto y alcance</w:t>
      </w:r>
    </w:p>
    <w:p w14:paraId="211C4C29" w14:textId="77777777" w:rsidR="00C84A8D" w:rsidRPr="00CF35CB" w:rsidRDefault="00100C35">
      <w:pPr>
        <w:jc w:val="both"/>
        <w:rPr>
          <w:lang w:val="es-CL"/>
        </w:rPr>
      </w:pPr>
      <w:r w:rsidRPr="00D05266">
        <w:rPr>
          <w:lang w:val="es-CL"/>
        </w:rPr>
        <w:t>El presente documento acompaña al modelo de costos en hoja de cálculo Modelo_Móvil_CRC_5G_v46_pub_E1_Fraude_vpub.xlsm [13] y tiene por objeto describir, en términos técnicos y económicos, la arquitectura del modelo, el flujo de información que alimenta el cálculo y la metodología con la cual se determina el costo unitario del mensaje corto empresarial (A2P, aplicación a persona) que permite recuperar la totalidad de la inversión y de los gastos de operación del programa de mitigación del fraude en los servicios móviles de voz y SMS.</w:t>
      </w:r>
    </w:p>
    <w:p w14:paraId="55A279FD" w14:textId="77777777" w:rsidR="00C84A8D" w:rsidRPr="00CF35CB" w:rsidRDefault="00100C35">
      <w:pPr>
        <w:jc w:val="both"/>
        <w:rPr>
          <w:lang w:val="es-CL"/>
        </w:rPr>
      </w:pPr>
      <w:r w:rsidRPr="00CF35CB">
        <w:rPr>
          <w:lang w:val="es-CL"/>
        </w:rPr>
        <w:t>No se reproduce aquí el detalle numérico del modelo, que se encuentra trazado y auditable en el propio archivo, sino que explica su lógica de construcción, los principios regulatorios que sustentan la decisión de radicar la recuperación del costo en el segmento A2P y los resultados principales del ejercicio. Las expresiones matemáticas se presentan en forma conceptual, de modo que puedan leerse con independencia de la implementación en hoja de cálculo.</w:t>
      </w:r>
    </w:p>
    <w:p w14:paraId="552EC87C" w14:textId="77777777" w:rsidR="00C84A8D" w:rsidRPr="00CF35CB" w:rsidRDefault="00100C35">
      <w:pPr>
        <w:pStyle w:val="Ttulo1"/>
        <w:rPr>
          <w:lang w:val="es-CL"/>
        </w:rPr>
      </w:pPr>
      <w:r w:rsidRPr="00CF35CB">
        <w:rPr>
          <w:color w:val="1F4E79"/>
          <w:lang w:val="es-CL"/>
        </w:rPr>
        <w:t>2. Antecedentes y marco regulatorio</w:t>
      </w:r>
    </w:p>
    <w:p w14:paraId="7ECE1443" w14:textId="77777777" w:rsidR="00C84A8D" w:rsidRPr="00CF35CB" w:rsidRDefault="00100C35">
      <w:pPr>
        <w:pStyle w:val="Ttulo2"/>
        <w:rPr>
          <w:lang w:val="es-CL"/>
        </w:rPr>
      </w:pPr>
      <w:r w:rsidRPr="00CF35CB">
        <w:rPr>
          <w:color w:val="1F4E79"/>
          <w:lang w:val="es-CL"/>
        </w:rPr>
        <w:t>2.1 El problema regulatorio</w:t>
      </w:r>
    </w:p>
    <w:p w14:paraId="42EC38AA" w14:textId="44FFDC7D" w:rsidR="00C84A8D" w:rsidRPr="00CF35CB" w:rsidRDefault="00100C35">
      <w:pPr>
        <w:jc w:val="both"/>
        <w:rPr>
          <w:lang w:val="es-CL"/>
        </w:rPr>
      </w:pPr>
      <w:r w:rsidRPr="00D05266">
        <w:rPr>
          <w:lang w:val="es-CL"/>
        </w:rPr>
        <w:t>El fraude a través de comunicaciones móviles se ha consolidado como uno de los principales vectores de afectación a los usuarios en Colombia. La Comisión de Regulación de Comunicaciones (CRC) en el marco de su proyecto regulatorio sobre la materia [1], las pérdidas anuales reclamadas por los usuarios por fraudes cometidos a través de llamadas y mensajes de texto pasaron de 30.622 millones de pesos a 92.235 millones de pesos en un lapso de dos años, con un promedio superior a 252 millones de pesos diarios. En 2024 el smishing, modalidad que utiliza mensajes de texto fraudulentos, alcanzó 47.892 millones de pesos, y el vishing, que se vale de llamadas con suplantación de identidad institucional, sumó 44.342 millones de pesos.</w:t>
      </w:r>
    </w:p>
    <w:p w14:paraId="7B46A201" w14:textId="77777777" w:rsidR="00C84A8D" w:rsidRPr="00CF35CB" w:rsidRDefault="00100C35">
      <w:pPr>
        <w:jc w:val="both"/>
        <w:rPr>
          <w:lang w:val="es-CL"/>
        </w:rPr>
      </w:pPr>
      <w:r w:rsidRPr="00D05266">
        <w:rPr>
          <w:lang w:val="es-CL"/>
        </w:rPr>
        <w:t>Estas conductas explotan dos debilidades estructurales del ecosistema: la facilidad para falsificar el identificador de origen de una llamada o de un mensaje, y la ausencia de una verificación sistemática de la identidad de quienes originan tráfico masivo hacia los usuarios. La respuesta técnica consiste en un conjunto articulado de capacidades de identificación, validación, monitoreo y bloqueo cuyo costo debe ser dimensionado y asignado bajo criterios de eficiencia, que es precisamente lo que desarrolla el modelo que este documento acompaña. La literatura académica ha sistematizado tanto los esquemas de fraude que explotan las redes telefónicas y las técnicas disponibles para contenerlos como las dificultades de medir el costo social del cibercrimen, lo que respalda la aproximación prudencial y paramétrica adoptada en este ejercicio [9], [10], [11].</w:t>
      </w:r>
    </w:p>
    <w:p w14:paraId="5FC1EECE" w14:textId="77777777" w:rsidR="00C84A8D" w:rsidRPr="00CF35CB" w:rsidRDefault="00100C35">
      <w:pPr>
        <w:pStyle w:val="Ttulo2"/>
        <w:rPr>
          <w:lang w:val="es-CL"/>
        </w:rPr>
      </w:pPr>
      <w:r w:rsidRPr="00CF35CB">
        <w:rPr>
          <w:color w:val="1F4E79"/>
          <w:lang w:val="es-CL"/>
        </w:rPr>
        <w:lastRenderedPageBreak/>
        <w:t>2.2 Marco nacional</w:t>
      </w:r>
    </w:p>
    <w:p w14:paraId="2DF34B26" w14:textId="0F51118D" w:rsidR="00C84A8D" w:rsidRPr="00CF35CB" w:rsidRDefault="00100C35">
      <w:pPr>
        <w:jc w:val="both"/>
        <w:rPr>
          <w:lang w:val="es-CL"/>
        </w:rPr>
      </w:pPr>
      <w:r w:rsidRPr="00D05266">
        <w:rPr>
          <w:lang w:val="es-CL"/>
        </w:rPr>
        <w:t xml:space="preserve">La intervención se inscribe en las facultades generales de la CRC previstas en la Ley 1341 de 2009, modificada por la Ley 1978 de 2019 [3], en particular la promoción de la competencia, la protección de los derechos de los usuarios y la regulación por costos eficientes de las condiciones de acceso, uso e interconexión de las redes. El régimen compilado en la Resolución CRC 5050 de 2016 [2] recoge el principio de orientación a costos eficientes y, para el servicio de mensajería corta, ya utiliza un modelo de empresa eficiente móvil como fundamento de los valores regulados de remuneración por terminación de SMS. El modelo que acompaña este informe extiende esa misma aproximación metodológica, de manera que la valoración del programa antifraude conserva continuidad conceptual con la práctica tarifaria vigente de la Comisión, dejando claro que a diferencia de la tarifa publicada de SMS que está calculada con LRIC puro, esta tarifa emana de un costo directo, es decir es un costo incremental con raíz en el problema regulatorio, y los costos de la solución son totalmente cubiertos por la tarifa que recupera estos costos, no es un costo marginal. </w:t>
      </w:r>
    </w:p>
    <w:p w14:paraId="6996C360" w14:textId="77777777" w:rsidR="00C84A8D" w:rsidRPr="00CF35CB" w:rsidRDefault="00100C35">
      <w:pPr>
        <w:jc w:val="both"/>
        <w:rPr>
          <w:lang w:val="es-CL"/>
        </w:rPr>
      </w:pPr>
      <w:r w:rsidRPr="00D05266">
        <w:rPr>
          <w:lang w:val="es-CL"/>
        </w:rPr>
        <w:t>En materia de comunicaciones comerciales, la Ley 2300 de 2023 estableció límites al contacto con fines comerciales o publicitarios y ordenó la implementación del Registro de Números Excluidos, reglamentado por la CRC mediante la Resolución 7356 de 2024 y en operación desde abril de 2024 [4]. Este marco reconoce de manera explícita que el tráfico empresarial hacia los usuarios genera cargas y riesgos que deben ser gestionados por quienes lo originan, criterio que resulta directamente pertinente para la asignación del costo del programa antifraude.</w:t>
      </w:r>
    </w:p>
    <w:p w14:paraId="57D21A28" w14:textId="341B14A8" w:rsidR="00C84A8D" w:rsidRPr="00CF35CB" w:rsidRDefault="00100C35">
      <w:pPr>
        <w:jc w:val="both"/>
        <w:rPr>
          <w:lang w:val="es-CL"/>
        </w:rPr>
      </w:pPr>
      <w:r w:rsidRPr="00D05266">
        <w:rPr>
          <w:lang w:val="es-CL"/>
        </w:rPr>
        <w:t>Finalmente, la CRC incorporó en su agenda regulatoria 2025-2026 el proyecto Identificación de medidas para mitigar el fraude cibernético por medio de servicios móviles, cuyo documento de alternativas regulatorias fue publicado en noviembre de 2025 y cuya propuesta de resolución se sometió a comentarios del sector en junio de 2026 [1]. Las medidas allí propuestas para SMS, identificador visible de remitente, validación estricta de originadores de tráfico masivo y monitoreo de patrones de tráfico, y para voz, bloqueo de llamadas internacionales que usan indebidamente numeración colombiana, etiquetado de llamadas y controles sobre recursos de numeración, se corresponden una a una con los bloques de costos del módulo de fraude del modelo. La Comisión anunció que el proyecto se desarrollará en dos fases y que la segunda evaluará todos los aspectos asociados a la remuneración del servicio de SMS en el ecosistema A2P, ámbito al cual contribuye directamente el ejercicio de costeo aquí documentado.</w:t>
      </w:r>
    </w:p>
    <w:p w14:paraId="32425A08" w14:textId="77777777" w:rsidR="00C84A8D" w:rsidRPr="00CF35CB" w:rsidRDefault="00100C35">
      <w:pPr>
        <w:pStyle w:val="Ttulo2"/>
        <w:rPr>
          <w:lang w:val="es-CL"/>
        </w:rPr>
      </w:pPr>
      <w:r w:rsidRPr="00CF35CB">
        <w:rPr>
          <w:color w:val="1F4E79"/>
          <w:lang w:val="es-CL"/>
        </w:rPr>
        <w:t>2.3 Referencias internacionales</w:t>
      </w:r>
    </w:p>
    <w:p w14:paraId="3684B528" w14:textId="77777777" w:rsidR="00C84A8D" w:rsidRPr="00CF35CB" w:rsidRDefault="00100C35">
      <w:pPr>
        <w:jc w:val="both"/>
        <w:rPr>
          <w:lang w:val="es-CL"/>
        </w:rPr>
      </w:pPr>
      <w:r w:rsidRPr="00D05266">
        <w:rPr>
          <w:lang w:val="es-CL"/>
        </w:rPr>
        <w:t xml:space="preserve">La experiencia internacional muestra un patrón consistente: en los regímenes que ya operan esquemas de registro y validación de originadores, el costo del sistema es asumido por el eslabón empresarial que origina el tráfico masivo, no por el usuario final ni por el presupuesto público. En India, el reglamento de comunicaciones comerciales expedido por la TRAI en 2018 creó un registro obligatorio sobre tecnología de libro mayor distribuido (DLT) que cubre tanto los mensajes como las llamadas comerciales; las entidades originadoras pagan allí el registro de su identidad y de sus cabeceras, además de un cargo por depuración del tráfico (scrubbing) del orden de 0,025 rupias por mensaje, equivalente a cerca de 1,2 pesos colombianos, con el cual se financia la operación del sistema de verificación [5]. En Estados Unidos, el ecosistema 10DLC organizado alrededor de The Campaign Registry exige a las marcas el registro de su identidad y de sus campañas mediante tarifas de registro y verificación, y los operadores aplican sobrecargos por mensaje que penalizan el tráfico no registrado con valores que llegan a triplicar los del tráfico validado; desde comienzos de 2025, además, los principales operadores </w:t>
      </w:r>
      <w:r w:rsidRPr="00D05266">
        <w:rPr>
          <w:lang w:val="es-CL"/>
        </w:rPr>
        <w:lastRenderedPageBreak/>
        <w:t>bloquean el tráfico empresarial que no figura en el registro. La evidencia disponible indica que estos cargos se trasladan de manera prácticamente íntegra al originador empresarial [6].</w:t>
      </w:r>
    </w:p>
    <w:p w14:paraId="1C26879D" w14:textId="77777777" w:rsidR="00C84A8D" w:rsidRPr="00CF35CB" w:rsidRDefault="00100C35">
      <w:pPr>
        <w:jc w:val="both"/>
        <w:rPr>
          <w:lang w:val="es-CL"/>
        </w:rPr>
      </w:pPr>
      <w:r w:rsidRPr="00D05266">
        <w:rPr>
          <w:lang w:val="es-CL"/>
        </w:rPr>
        <w:t>Singapur, por su parte, cobra a cada organización, a través del registro de identificadores de remitente que administra la IMDA, una tarifa de vinculación y una tarifa anual por identificador registrado, y desde 2023 bloquea por defecto los identificadores que no figuran en el registro [7]. En el Reino Unido, la revisión del mercado de terminación de mensajes A2P que adelantó Ofcom en 2025 encontró que los cargos mayoristas de terminación aumentaron hasta un 70 por ciento desde 2021 y que esos incrementos se trasladaron a los precios que pagan las empresas usuarias del canal, no a las tarifas minoristas de los usuarios finales [8]. Estos referentes permiten afirmar que la recuperación del costo del programa antifraude a través del canal A2P no constituye una singularidad del ejercicio colombiano, sino la regla general de los regímenes comparables que se encuentran en operación.</w:t>
      </w:r>
    </w:p>
    <w:p w14:paraId="0D2D61D6" w14:textId="77777777" w:rsidR="00C84A8D" w:rsidRPr="00CF35CB" w:rsidRDefault="00100C35">
      <w:pPr>
        <w:pStyle w:val="Ttulo1"/>
        <w:rPr>
          <w:lang w:val="es-CL"/>
        </w:rPr>
      </w:pPr>
      <w:r w:rsidRPr="00CF35CB">
        <w:rPr>
          <w:color w:val="1F4E79"/>
          <w:lang w:val="es-CL"/>
        </w:rPr>
        <w:t>3. Arquitectura del modelo y flujo de información</w:t>
      </w:r>
    </w:p>
    <w:p w14:paraId="210F1361" w14:textId="2C8B7732" w:rsidR="00C84A8D" w:rsidRPr="00CF35CB" w:rsidRDefault="00100C35">
      <w:pPr>
        <w:jc w:val="both"/>
        <w:rPr>
          <w:lang w:val="es-CL"/>
        </w:rPr>
      </w:pPr>
      <w:r w:rsidRPr="00CF35CB">
        <w:rPr>
          <w:lang w:val="es-CL"/>
        </w:rPr>
        <w:t>El módulo de mitigación de fraude no se costea de manera aislada, sino integrado al modelo de empresa eficiente móvil, el mismo tipo de herramienta que sustenta la regulación de cargos de acceso en Colombia. El modelo representa un operador eficiente que atiende la demanda proyectada del mercado y dimensiona la red, el personal y los sistemas necesarios para servirla a mínimo costo. Sobre esa estructura, el módulo de fraude agrega las capacidades del programa de mitigación y las lleva hasta un costo unitario por mensaje</w:t>
      </w:r>
      <w:r w:rsidR="00E3315E">
        <w:rPr>
          <w:lang w:val="es-CL"/>
        </w:rPr>
        <w:t>, que es financiado exclusivamente por la tarifa que se calculará.</w:t>
      </w:r>
    </w:p>
    <w:p w14:paraId="5A673266" w14:textId="77777777" w:rsidR="00C84A8D" w:rsidRPr="00CF35CB" w:rsidRDefault="00100C35">
      <w:pPr>
        <w:jc w:val="both"/>
        <w:rPr>
          <w:lang w:val="es-CL"/>
        </w:rPr>
      </w:pPr>
      <w:r w:rsidRPr="00CF35CB">
        <w:rPr>
          <w:lang w:val="es-CL"/>
        </w:rPr>
        <w:t>El flujo de información del cálculo se resume en la Figura 1.</w:t>
      </w:r>
    </w:p>
    <w:p w14:paraId="44055BCE" w14:textId="77777777" w:rsidR="00C84A8D" w:rsidRDefault="00100C35">
      <w:pPr>
        <w:jc w:val="center"/>
      </w:pPr>
      <w:r>
        <w:rPr>
          <w:noProof/>
        </w:rPr>
        <mc:AlternateContent>
          <mc:Choice Requires="wpg">
            <w:drawing>
              <wp:inline distT="0" distB="0" distL="0" distR="0" wp14:anchorId="5CB45A69" wp14:editId="73AC1B9E">
                <wp:extent cx="4991100" cy="3724275"/>
                <wp:effectExtent l="0" t="0" r="19050" b="0"/>
                <wp:docPr id="99" name="Flujo de información del model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91100" cy="3724275"/>
                          <a:chOff x="0" y="0"/>
                          <a:chExt cx="5760000" cy="4752000"/>
                        </a:xfrm>
                      </wpg:grpSpPr>
                      <wps:wsp>
                        <wps:cNvPr id="101" name="Bloque 101"/>
                        <wps:cNvSpPr/>
                        <wps:spPr>
                          <a:xfrm>
                            <a:off x="0" y="0"/>
                            <a:ext cx="1800000" cy="936000"/>
                          </a:xfrm>
                          <a:prstGeom prst="roundRect">
                            <a:avLst>
                              <a:gd name="adj" fmla="val 8000"/>
                            </a:avLst>
                          </a:prstGeom>
                          <a:solidFill>
                            <a:srgbClr val="DCE6F1"/>
                          </a:solidFill>
                          <a:ln w="9525">
                            <a:solidFill>
                              <a:srgbClr val="1F4E79"/>
                            </a:solidFill>
                          </a:ln>
                        </wps:spPr>
                        <wps:txbx>
                          <w:txbxContent>
                            <w:p w14:paraId="30EDDCA1" w14:textId="77777777" w:rsidR="00C84A8D" w:rsidRPr="00CF35CB" w:rsidRDefault="00100C35">
                              <w:pPr>
                                <w:spacing w:after="0"/>
                                <w:jc w:val="center"/>
                                <w:rPr>
                                  <w:sz w:val="28"/>
                                  <w:szCs w:val="28"/>
                                  <w:lang w:val="es-CL"/>
                                </w:rPr>
                              </w:pPr>
                              <w:r w:rsidRPr="00CF35CB">
                                <w:rPr>
                                  <w:b/>
                                  <w:color w:val="1F3050"/>
                                  <w:sz w:val="18"/>
                                  <w:szCs w:val="28"/>
                                  <w:lang w:val="es-CL"/>
                                </w:rPr>
                                <w:t>Parámetros financieros</w:t>
                              </w:r>
                            </w:p>
                            <w:p w14:paraId="3035DCE3" w14:textId="77777777" w:rsidR="00C84A8D" w:rsidRPr="00CF35CB" w:rsidRDefault="00100C35">
                              <w:pPr>
                                <w:spacing w:after="0"/>
                                <w:jc w:val="center"/>
                                <w:rPr>
                                  <w:sz w:val="28"/>
                                  <w:szCs w:val="28"/>
                                  <w:lang w:val="es-CL"/>
                                </w:rPr>
                              </w:pPr>
                              <w:r w:rsidRPr="00CF35CB">
                                <w:rPr>
                                  <w:color w:val="1F3050"/>
                                  <w:sz w:val="18"/>
                                  <w:szCs w:val="28"/>
                                  <w:lang w:val="es-CL"/>
                                </w:rPr>
                                <w:t>Tasa de costo de capital, tributación, tipo de cambio y contribución regulatoria</w:t>
                              </w:r>
                            </w:p>
                          </w:txbxContent>
                        </wps:txbx>
                        <wps:bodyPr rot="0" vert="horz" wrap="square" lIns="45720" tIns="18000" rIns="45720" bIns="18000" anchor="ctr" anchorCtr="0">
                          <a:normAutofit/>
                        </wps:bodyPr>
                      </wps:wsp>
                      <wps:wsp>
                        <wps:cNvPr id="102" name="Bloque 102"/>
                        <wps:cNvSpPr/>
                        <wps:spPr>
                          <a:xfrm>
                            <a:off x="1980000" y="0"/>
                            <a:ext cx="1800000" cy="936000"/>
                          </a:xfrm>
                          <a:prstGeom prst="roundRect">
                            <a:avLst>
                              <a:gd name="adj" fmla="val 8000"/>
                            </a:avLst>
                          </a:prstGeom>
                          <a:solidFill>
                            <a:srgbClr val="DCE6F1"/>
                          </a:solidFill>
                          <a:ln w="9525">
                            <a:solidFill>
                              <a:srgbClr val="1F4E79"/>
                            </a:solidFill>
                          </a:ln>
                        </wps:spPr>
                        <wps:txbx>
                          <w:txbxContent>
                            <w:p w14:paraId="31364A9B" w14:textId="77777777" w:rsidR="00C84A8D" w:rsidRPr="00CF35CB" w:rsidRDefault="00100C35">
                              <w:pPr>
                                <w:spacing w:after="0"/>
                                <w:jc w:val="center"/>
                                <w:rPr>
                                  <w:sz w:val="28"/>
                                  <w:szCs w:val="28"/>
                                  <w:lang w:val="es-CL"/>
                                </w:rPr>
                              </w:pPr>
                              <w:r w:rsidRPr="00CF35CB">
                                <w:rPr>
                                  <w:b/>
                                  <w:color w:val="1F3050"/>
                                  <w:sz w:val="18"/>
                                  <w:szCs w:val="28"/>
                                  <w:lang w:val="es-CL"/>
                                </w:rPr>
                                <w:t>Demanda proyectada</w:t>
                              </w:r>
                            </w:p>
                            <w:p w14:paraId="0AD8E1B2" w14:textId="77777777" w:rsidR="00C84A8D" w:rsidRPr="00CF35CB" w:rsidRDefault="00100C35">
                              <w:pPr>
                                <w:spacing w:after="0"/>
                                <w:jc w:val="center"/>
                                <w:rPr>
                                  <w:sz w:val="28"/>
                                  <w:szCs w:val="28"/>
                                  <w:lang w:val="es-CL"/>
                                </w:rPr>
                              </w:pPr>
                              <w:r w:rsidRPr="00CF35CB">
                                <w:rPr>
                                  <w:color w:val="1F3050"/>
                                  <w:sz w:val="18"/>
                                  <w:szCs w:val="28"/>
                                  <w:lang w:val="es-CL"/>
                                </w:rPr>
                                <w:t>Abonados, tráfico de voz y SMS P2P y A2P de la empresa eficiente, 2025 a 2030</w:t>
                              </w:r>
                            </w:p>
                          </w:txbxContent>
                        </wps:txbx>
                        <wps:bodyPr rot="0" vert="horz" wrap="square" lIns="45720" tIns="18000" rIns="45720" bIns="18000" anchor="ctr" anchorCtr="0">
                          <a:normAutofit/>
                        </wps:bodyPr>
                      </wps:wsp>
                      <wps:wsp>
                        <wps:cNvPr id="103" name="Bloque 103"/>
                        <wps:cNvSpPr/>
                        <wps:spPr>
                          <a:xfrm>
                            <a:off x="3960000" y="0"/>
                            <a:ext cx="1800000" cy="936000"/>
                          </a:xfrm>
                          <a:prstGeom prst="roundRect">
                            <a:avLst>
                              <a:gd name="adj" fmla="val 8000"/>
                            </a:avLst>
                          </a:prstGeom>
                          <a:solidFill>
                            <a:srgbClr val="DCE6F1"/>
                          </a:solidFill>
                          <a:ln w="9525">
                            <a:solidFill>
                              <a:srgbClr val="1F4E79"/>
                            </a:solidFill>
                          </a:ln>
                        </wps:spPr>
                        <wps:txbx>
                          <w:txbxContent>
                            <w:p w14:paraId="532AF28F" w14:textId="77777777" w:rsidR="00C84A8D" w:rsidRPr="00CF35CB" w:rsidRDefault="00100C35">
                              <w:pPr>
                                <w:spacing w:after="0"/>
                                <w:jc w:val="center"/>
                                <w:rPr>
                                  <w:sz w:val="28"/>
                                  <w:szCs w:val="28"/>
                                  <w:lang w:val="es-CL"/>
                                </w:rPr>
                              </w:pPr>
                              <w:r w:rsidRPr="00CF35CB">
                                <w:rPr>
                                  <w:b/>
                                  <w:color w:val="1F3050"/>
                                  <w:sz w:val="18"/>
                                  <w:szCs w:val="28"/>
                                  <w:lang w:val="es-CL"/>
                                </w:rPr>
                                <w:t>Costos unitarios antifraude</w:t>
                              </w:r>
                            </w:p>
                            <w:p w14:paraId="31A832FD" w14:textId="77777777" w:rsidR="00C84A8D" w:rsidRPr="00CF35CB" w:rsidRDefault="00100C35">
                              <w:pPr>
                                <w:spacing w:after="0"/>
                                <w:jc w:val="center"/>
                                <w:rPr>
                                  <w:sz w:val="28"/>
                                  <w:szCs w:val="28"/>
                                  <w:lang w:val="es-CL"/>
                                </w:rPr>
                              </w:pPr>
                              <w:r w:rsidRPr="00CF35CB">
                                <w:rPr>
                                  <w:color w:val="1F3050"/>
                                  <w:sz w:val="18"/>
                                  <w:szCs w:val="28"/>
                                  <w:lang w:val="es-CL"/>
                                </w:rPr>
                                <w:t>Componente fijo más componente variable por evento, en dólares</w:t>
                              </w:r>
                            </w:p>
                          </w:txbxContent>
                        </wps:txbx>
                        <wps:bodyPr rot="0" vert="horz" wrap="square" lIns="45720" tIns="18000" rIns="45720" bIns="18000" anchor="ctr" anchorCtr="0">
                          <a:normAutofit/>
                        </wps:bodyPr>
                      </wps:wsp>
                      <wps:wsp>
                        <wps:cNvPr id="104" name="Bloque 104"/>
                        <wps:cNvSpPr/>
                        <wps:spPr>
                          <a:xfrm>
                            <a:off x="540000" y="1224000"/>
                            <a:ext cx="4680000" cy="612000"/>
                          </a:xfrm>
                          <a:prstGeom prst="roundRect">
                            <a:avLst>
                              <a:gd name="adj" fmla="val 8000"/>
                            </a:avLst>
                          </a:prstGeom>
                          <a:solidFill>
                            <a:srgbClr val="DCE6F1"/>
                          </a:solidFill>
                          <a:ln w="9525">
                            <a:solidFill>
                              <a:srgbClr val="1F4E79"/>
                            </a:solidFill>
                          </a:ln>
                        </wps:spPr>
                        <wps:txbx>
                          <w:txbxContent>
                            <w:p w14:paraId="7BC264B9" w14:textId="77777777" w:rsidR="00C84A8D" w:rsidRPr="00CF35CB" w:rsidRDefault="00100C35">
                              <w:pPr>
                                <w:spacing w:after="0"/>
                                <w:jc w:val="center"/>
                                <w:rPr>
                                  <w:sz w:val="28"/>
                                  <w:szCs w:val="28"/>
                                  <w:lang w:val="es-CL"/>
                                </w:rPr>
                              </w:pPr>
                              <w:r w:rsidRPr="00CF35CB">
                                <w:rPr>
                                  <w:b/>
                                  <w:color w:val="1F3050"/>
                                  <w:sz w:val="18"/>
                                  <w:szCs w:val="28"/>
                                  <w:lang w:val="es-CL"/>
                                </w:rPr>
                                <w:t>Módulo de mitigación de fraude</w:t>
                              </w:r>
                            </w:p>
                            <w:p w14:paraId="6B9F07CA" w14:textId="77777777" w:rsidR="00C84A8D" w:rsidRPr="00CF35CB" w:rsidRDefault="00100C35">
                              <w:pPr>
                                <w:spacing w:after="0"/>
                                <w:jc w:val="center"/>
                                <w:rPr>
                                  <w:sz w:val="28"/>
                                  <w:szCs w:val="28"/>
                                  <w:lang w:val="es-CL"/>
                                </w:rPr>
                              </w:pPr>
                              <w:r w:rsidRPr="00CF35CB">
                                <w:rPr>
                                  <w:color w:val="1F3050"/>
                                  <w:sz w:val="18"/>
                                  <w:szCs w:val="28"/>
                                  <w:lang w:val="es-CL"/>
                                </w:rPr>
                                <w:t>Flujos anuales de inversión (CAPEX) y de operación (OPEX) del esquema centralizado</w:t>
                              </w:r>
                            </w:p>
                          </w:txbxContent>
                        </wps:txbx>
                        <wps:bodyPr rot="0" vert="horz" wrap="square" lIns="45720" tIns="18000" rIns="45720" bIns="18000" anchor="ctr" anchorCtr="0">
                          <a:normAutofit/>
                        </wps:bodyPr>
                      </wps:wsp>
                      <wps:wsp>
                        <wps:cNvPr id="105" name="Bloque 105"/>
                        <wps:cNvSpPr/>
                        <wps:spPr>
                          <a:xfrm>
                            <a:off x="540000" y="2124000"/>
                            <a:ext cx="4680000" cy="612000"/>
                          </a:xfrm>
                          <a:prstGeom prst="roundRect">
                            <a:avLst>
                              <a:gd name="adj" fmla="val 8000"/>
                            </a:avLst>
                          </a:prstGeom>
                          <a:solidFill>
                            <a:srgbClr val="DCE6F1"/>
                          </a:solidFill>
                          <a:ln w="9525">
                            <a:solidFill>
                              <a:srgbClr val="1F4E79"/>
                            </a:solidFill>
                          </a:ln>
                        </wps:spPr>
                        <wps:txbx>
                          <w:txbxContent>
                            <w:p w14:paraId="02529398" w14:textId="77777777" w:rsidR="00C84A8D" w:rsidRPr="00CF35CB" w:rsidRDefault="00100C35">
                              <w:pPr>
                                <w:spacing w:after="0"/>
                                <w:jc w:val="center"/>
                                <w:rPr>
                                  <w:sz w:val="28"/>
                                  <w:szCs w:val="28"/>
                                  <w:lang w:val="es-CL"/>
                                </w:rPr>
                              </w:pPr>
                              <w:r w:rsidRPr="00CF35CB">
                                <w:rPr>
                                  <w:b/>
                                  <w:color w:val="1F3050"/>
                                  <w:sz w:val="18"/>
                                  <w:szCs w:val="28"/>
                                  <w:lang w:val="es-CL"/>
                                </w:rPr>
                                <w:t>Base de costos y cálculo tarifario</w:t>
                              </w:r>
                            </w:p>
                            <w:p w14:paraId="34F4E751" w14:textId="77777777" w:rsidR="00C84A8D" w:rsidRPr="00CF35CB" w:rsidRDefault="00100C35">
                              <w:pPr>
                                <w:spacing w:after="0"/>
                                <w:jc w:val="center"/>
                                <w:rPr>
                                  <w:sz w:val="28"/>
                                  <w:szCs w:val="28"/>
                                  <w:lang w:val="es-CL"/>
                                </w:rPr>
                              </w:pPr>
                              <w:proofErr w:type="spellStart"/>
                              <w:r w:rsidRPr="00CF35CB">
                                <w:rPr>
                                  <w:color w:val="1F3050"/>
                                  <w:sz w:val="18"/>
                                  <w:szCs w:val="28"/>
                                  <w:lang w:val="es-CL"/>
                                </w:rPr>
                                <w:t>Anualización</w:t>
                              </w:r>
                              <w:proofErr w:type="spellEnd"/>
                              <w:r w:rsidRPr="00CF35CB">
                                <w:rPr>
                                  <w:color w:val="1F3050"/>
                                  <w:sz w:val="18"/>
                                  <w:szCs w:val="28"/>
                                  <w:lang w:val="es-CL"/>
                                </w:rPr>
                                <w:t xml:space="preserve"> de la inversión y costo total de largo plazo (CTLP) en valor presente</w:t>
                              </w:r>
                            </w:p>
                          </w:txbxContent>
                        </wps:txbx>
                        <wps:bodyPr rot="0" vert="horz" wrap="square" lIns="45720" tIns="18000" rIns="45720" bIns="18000" anchor="ctr" anchorCtr="0">
                          <a:normAutofit/>
                        </wps:bodyPr>
                      </wps:wsp>
                      <wps:wsp>
                        <wps:cNvPr id="106" name="Bloque 106"/>
                        <wps:cNvSpPr/>
                        <wps:spPr>
                          <a:xfrm>
                            <a:off x="540000" y="3024000"/>
                            <a:ext cx="4680000" cy="612000"/>
                          </a:xfrm>
                          <a:prstGeom prst="roundRect">
                            <a:avLst>
                              <a:gd name="adj" fmla="val 8000"/>
                            </a:avLst>
                          </a:prstGeom>
                          <a:solidFill>
                            <a:srgbClr val="DCE6F1"/>
                          </a:solidFill>
                          <a:ln w="9525">
                            <a:solidFill>
                              <a:srgbClr val="1F4E79"/>
                            </a:solidFill>
                          </a:ln>
                        </wps:spPr>
                        <wps:txbx>
                          <w:txbxContent>
                            <w:p w14:paraId="6129486F" w14:textId="77777777" w:rsidR="00C84A8D" w:rsidRPr="00CF35CB" w:rsidRDefault="00100C35">
                              <w:pPr>
                                <w:spacing w:after="0"/>
                                <w:jc w:val="center"/>
                                <w:rPr>
                                  <w:sz w:val="28"/>
                                  <w:szCs w:val="28"/>
                                  <w:lang w:val="es-CL"/>
                                </w:rPr>
                              </w:pPr>
                              <w:r w:rsidRPr="00CF35CB">
                                <w:rPr>
                                  <w:b/>
                                  <w:color w:val="1F3050"/>
                                  <w:sz w:val="18"/>
                                  <w:szCs w:val="28"/>
                                  <w:lang w:val="es-CL"/>
                                </w:rPr>
                                <w:t>Asignación de costos</w:t>
                              </w:r>
                            </w:p>
                            <w:p w14:paraId="07CCAB96" w14:textId="77777777" w:rsidR="00C84A8D" w:rsidRPr="00CF35CB" w:rsidRDefault="00100C35">
                              <w:pPr>
                                <w:spacing w:after="0"/>
                                <w:jc w:val="center"/>
                                <w:rPr>
                                  <w:sz w:val="28"/>
                                  <w:szCs w:val="28"/>
                                  <w:lang w:val="es-CL"/>
                                </w:rPr>
                              </w:pPr>
                              <w:r w:rsidRPr="00CF35CB">
                                <w:rPr>
                                  <w:color w:val="1F3050"/>
                                  <w:sz w:val="18"/>
                                  <w:szCs w:val="28"/>
                                  <w:lang w:val="es-CL"/>
                                </w:rPr>
                                <w:t>La cascada de asignadores imputa el costo del programa al servicio SMS A2P</w:t>
                              </w:r>
                            </w:p>
                          </w:txbxContent>
                        </wps:txbx>
                        <wps:bodyPr rot="0" vert="horz" wrap="square" lIns="45720" tIns="18000" rIns="45720" bIns="18000" anchor="ctr" anchorCtr="0">
                          <a:normAutofit/>
                        </wps:bodyPr>
                      </wps:wsp>
                      <wps:wsp>
                        <wps:cNvPr id="107" name="Bloque 107"/>
                        <wps:cNvSpPr/>
                        <wps:spPr>
                          <a:xfrm>
                            <a:off x="540000" y="3924000"/>
                            <a:ext cx="4680000" cy="720000"/>
                          </a:xfrm>
                          <a:prstGeom prst="roundRect">
                            <a:avLst>
                              <a:gd name="adj" fmla="val 8000"/>
                            </a:avLst>
                          </a:prstGeom>
                          <a:solidFill>
                            <a:srgbClr val="FFF2CC"/>
                          </a:solidFill>
                          <a:ln w="9525">
                            <a:solidFill>
                              <a:srgbClr val="1F4E79"/>
                            </a:solidFill>
                          </a:ln>
                        </wps:spPr>
                        <wps:txbx>
                          <w:txbxContent>
                            <w:p w14:paraId="7D456706" w14:textId="77777777" w:rsidR="00C84A8D" w:rsidRPr="00CF35CB" w:rsidRDefault="00100C35">
                              <w:pPr>
                                <w:spacing w:after="0"/>
                                <w:jc w:val="center"/>
                                <w:rPr>
                                  <w:sz w:val="28"/>
                                  <w:szCs w:val="28"/>
                                  <w:lang w:val="es-CL"/>
                                </w:rPr>
                              </w:pPr>
                              <w:r w:rsidRPr="00CF35CB">
                                <w:rPr>
                                  <w:b/>
                                  <w:color w:val="1F3050"/>
                                  <w:sz w:val="18"/>
                                  <w:szCs w:val="28"/>
                                  <w:lang w:val="es-CL"/>
                                </w:rPr>
                                <w:t>Costo unitario adicional del mensaje A2P</w:t>
                              </w:r>
                            </w:p>
                            <w:p w14:paraId="6A8E447E" w14:textId="77777777" w:rsidR="00C84A8D" w:rsidRPr="00CF35CB" w:rsidRDefault="00100C35">
                              <w:pPr>
                                <w:spacing w:after="0"/>
                                <w:jc w:val="center"/>
                                <w:rPr>
                                  <w:sz w:val="28"/>
                                  <w:szCs w:val="28"/>
                                  <w:lang w:val="es-CL"/>
                                </w:rPr>
                              </w:pPr>
                              <w:r w:rsidRPr="00CF35CB">
                                <w:rPr>
                                  <w:color w:val="1F3050"/>
                                  <w:sz w:val="18"/>
                                  <w:szCs w:val="28"/>
                                  <w:lang w:val="es-CL"/>
                                </w:rPr>
                                <w:t>CTLP dividido por la demanda A2P en valor presente, con ajuste por capital de trabajo y contribución regulatoria</w:t>
                              </w:r>
                            </w:p>
                          </w:txbxContent>
                        </wps:txbx>
                        <wps:bodyPr rot="0" vert="horz" wrap="square" lIns="45720" tIns="18000" rIns="45720" bIns="18000" anchor="ctr" anchorCtr="0">
                          <a:normAutofit/>
                        </wps:bodyPr>
                      </wps:wsp>
                      <wps:wsp>
                        <wps:cNvPr id="108" name="Conector 108"/>
                        <wps:cNvCnPr/>
                        <wps:spPr>
                          <a:xfrm>
                            <a:off x="900000" y="936000"/>
                            <a:ext cx="900000" cy="287999"/>
                          </a:xfrm>
                          <a:prstGeom prst="straightConnector1">
                            <a:avLst/>
                          </a:prstGeom>
                          <a:ln w="12700">
                            <a:solidFill>
                              <a:srgbClr val="1F4E79"/>
                            </a:solidFill>
                            <a:tailEnd type="triangle"/>
                          </a:ln>
                        </wps:spPr>
                        <wps:bodyPr/>
                      </wps:wsp>
                      <wps:wsp>
                        <wps:cNvPr id="109" name="Conector 109"/>
                        <wps:cNvCnPr/>
                        <wps:spPr>
                          <a:xfrm>
                            <a:off x="2880000" y="936000"/>
                            <a:ext cx="0" cy="287999"/>
                          </a:xfrm>
                          <a:prstGeom prst="straightConnector1">
                            <a:avLst/>
                          </a:prstGeom>
                          <a:ln w="12700">
                            <a:solidFill>
                              <a:srgbClr val="1F4E79"/>
                            </a:solidFill>
                            <a:tailEnd type="triangle"/>
                          </a:ln>
                        </wps:spPr>
                        <wps:bodyPr/>
                      </wps:wsp>
                      <wps:wsp>
                        <wps:cNvPr id="110" name="Conector 110"/>
                        <wps:cNvCnPr/>
                        <wps:spPr>
                          <a:xfrm flipH="1">
                            <a:off x="3960000" y="936000"/>
                            <a:ext cx="900000" cy="287999"/>
                          </a:xfrm>
                          <a:prstGeom prst="straightConnector1">
                            <a:avLst/>
                          </a:prstGeom>
                          <a:ln w="12700">
                            <a:solidFill>
                              <a:srgbClr val="1F4E79"/>
                            </a:solidFill>
                            <a:tailEnd type="triangle"/>
                          </a:ln>
                        </wps:spPr>
                        <wps:bodyPr/>
                      </wps:wsp>
                      <wps:wsp>
                        <wps:cNvPr id="111" name="Conector 111"/>
                        <wps:cNvCnPr/>
                        <wps:spPr>
                          <a:xfrm>
                            <a:off x="2880000" y="1835999"/>
                            <a:ext cx="0" cy="288000"/>
                          </a:xfrm>
                          <a:prstGeom prst="straightConnector1">
                            <a:avLst/>
                          </a:prstGeom>
                          <a:ln w="12700">
                            <a:solidFill>
                              <a:srgbClr val="1F4E79"/>
                            </a:solidFill>
                            <a:tailEnd type="triangle"/>
                          </a:ln>
                        </wps:spPr>
                        <wps:bodyPr/>
                      </wps:wsp>
                      <wps:wsp>
                        <wps:cNvPr id="112" name="Conector 112"/>
                        <wps:cNvCnPr/>
                        <wps:spPr>
                          <a:xfrm>
                            <a:off x="2880000" y="2736000"/>
                            <a:ext cx="0" cy="288000"/>
                          </a:xfrm>
                          <a:prstGeom prst="straightConnector1">
                            <a:avLst/>
                          </a:prstGeom>
                          <a:ln w="12700">
                            <a:solidFill>
                              <a:srgbClr val="1F4E79"/>
                            </a:solidFill>
                            <a:tailEnd type="triangle"/>
                          </a:ln>
                        </wps:spPr>
                        <wps:bodyPr/>
                      </wps:wsp>
                      <wps:wsp>
                        <wps:cNvPr id="113" name="Conector 113"/>
                        <wps:cNvCnPr/>
                        <wps:spPr>
                          <a:xfrm>
                            <a:off x="2880000" y="3636000"/>
                            <a:ext cx="0" cy="288000"/>
                          </a:xfrm>
                          <a:prstGeom prst="straightConnector1">
                            <a:avLst/>
                          </a:prstGeom>
                          <a:ln w="12700">
                            <a:solidFill>
                              <a:srgbClr val="1F4E79"/>
                            </a:solidFill>
                            <a:tailEnd type="triangle"/>
                          </a:ln>
                        </wps:spPr>
                        <wps:bodyPr/>
                      </wps:wsp>
                    </wpg:wgp>
                  </a:graphicData>
                </a:graphic>
              </wp:inline>
            </w:drawing>
          </mc:Choice>
          <mc:Fallback>
            <w:pict>
              <v:group w14:anchorId="5CB45A69" id="Flujo de información del modelo" o:spid="_x0000_s1026" style="width:393pt;height:293.25pt;mso-position-horizontal-relative:char;mso-position-vertical-relative:line" coordsize="57600,4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">
                <v:roundrect id="Bloque 101" o:spid="_x0000_s1027" style="position:absolute;width:18000;height:936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" fillcolor="#dce6f1" strokecolor="#1f4e79">
                  <v:textbox inset="3.6pt,.5mm,3.6pt,.5mm">
                    <w:txbxContent>
                      <w:p w14:paraId="30EDDCA1" w14:textId="77777777" w:rsidR="00C84A8D" w:rsidRPr="00CF35CB" w:rsidRDefault="00100C35">
                        <w:pPr>
                          <w:spacing w:after="0"/>
                          <w:jc w:val="center"/>
                          <w:rPr>
                            <w:sz w:val="28"/>
                            <w:szCs w:val="28"/>
                            <w:lang w:val="es-CL"/>
                          </w:rPr>
                        </w:pPr>
                        <w:r w:rsidRPr="00CF35CB">
                          <w:rPr>
                            <w:b/>
                            <w:color w:val="1F3050"/>
                            <w:sz w:val="18"/>
                            <w:szCs w:val="28"/>
                            <w:lang w:val="es-CL"/>
                          </w:rPr>
                          <w:t>Parámetros financieros</w:t>
                        </w:r>
                      </w:p>
                      <w:p w14:paraId="3035DCE3" w14:textId="77777777" w:rsidR="00C84A8D" w:rsidRPr="00CF35CB" w:rsidRDefault="00100C35">
                        <w:pPr>
                          <w:spacing w:after="0"/>
                          <w:jc w:val="center"/>
                          <w:rPr>
                            <w:sz w:val="28"/>
                            <w:szCs w:val="28"/>
                            <w:lang w:val="es-CL"/>
                          </w:rPr>
                        </w:pPr>
                        <w:r w:rsidRPr="00CF35CB">
                          <w:rPr>
                            <w:color w:val="1F3050"/>
                            <w:sz w:val="18"/>
                            <w:szCs w:val="28"/>
                            <w:lang w:val="es-CL"/>
                          </w:rPr>
                          <w:t>Tasa de costo de capital, tributación, tipo de cambio y contribución regulatoria</w:t>
                        </w:r>
                      </w:p>
                    </w:txbxContent>
                  </v:textbox>
                </v:roundrect>
                <v:roundrect id="Bloque 102" o:spid="_x0000_s1028" style="position:absolute;left:19800;width:18000;height:936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" fillcolor="#dce6f1" strokecolor="#1f4e79">
                  <v:textbox inset="3.6pt,.5mm,3.6pt,.5mm">
                    <w:txbxContent>
                      <w:p w14:paraId="31364A9B" w14:textId="77777777" w:rsidR="00C84A8D" w:rsidRPr="00CF35CB" w:rsidRDefault="00100C35">
                        <w:pPr>
                          <w:spacing w:after="0"/>
                          <w:jc w:val="center"/>
                          <w:rPr>
                            <w:sz w:val="28"/>
                            <w:szCs w:val="28"/>
                            <w:lang w:val="es-CL"/>
                          </w:rPr>
                        </w:pPr>
                        <w:r w:rsidRPr="00CF35CB">
                          <w:rPr>
                            <w:b/>
                            <w:color w:val="1F3050"/>
                            <w:sz w:val="18"/>
                            <w:szCs w:val="28"/>
                            <w:lang w:val="es-CL"/>
                          </w:rPr>
                          <w:t>Demanda proyectada</w:t>
                        </w:r>
                      </w:p>
                      <w:p w14:paraId="0AD8E1B2" w14:textId="77777777" w:rsidR="00C84A8D" w:rsidRPr="00CF35CB" w:rsidRDefault="00100C35">
                        <w:pPr>
                          <w:spacing w:after="0"/>
                          <w:jc w:val="center"/>
                          <w:rPr>
                            <w:sz w:val="28"/>
                            <w:szCs w:val="28"/>
                            <w:lang w:val="es-CL"/>
                          </w:rPr>
                        </w:pPr>
                        <w:r w:rsidRPr="00CF35CB">
                          <w:rPr>
                            <w:color w:val="1F3050"/>
                            <w:sz w:val="18"/>
                            <w:szCs w:val="28"/>
                            <w:lang w:val="es-CL"/>
                          </w:rPr>
                          <w:t>Abonados, tráfico de voz y SMS P2P y A2P de la empresa eficiente, 2025 a 2030</w:t>
                        </w:r>
                      </w:p>
                    </w:txbxContent>
                  </v:textbox>
                </v:roundrect>
                <v:roundrect id="Bloque 103" o:spid="_x0000_s1029" style="position:absolute;left:39600;width:18000;height:936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" fillcolor="#dce6f1" strokecolor="#1f4e79">
                  <v:textbox inset="3.6pt,.5mm,3.6pt,.5mm">
                    <w:txbxContent>
                      <w:p w14:paraId="532AF28F" w14:textId="77777777" w:rsidR="00C84A8D" w:rsidRPr="00CF35CB" w:rsidRDefault="00100C35">
                        <w:pPr>
                          <w:spacing w:after="0"/>
                          <w:jc w:val="center"/>
                          <w:rPr>
                            <w:sz w:val="28"/>
                            <w:szCs w:val="28"/>
                            <w:lang w:val="es-CL"/>
                          </w:rPr>
                        </w:pPr>
                        <w:r w:rsidRPr="00CF35CB">
                          <w:rPr>
                            <w:b/>
                            <w:color w:val="1F3050"/>
                            <w:sz w:val="18"/>
                            <w:szCs w:val="28"/>
                            <w:lang w:val="es-CL"/>
                          </w:rPr>
                          <w:t>Costos unitarios antifraude</w:t>
                        </w:r>
                      </w:p>
                      <w:p w14:paraId="31A832FD" w14:textId="77777777" w:rsidR="00C84A8D" w:rsidRPr="00CF35CB" w:rsidRDefault="00100C35">
                        <w:pPr>
                          <w:spacing w:after="0"/>
                          <w:jc w:val="center"/>
                          <w:rPr>
                            <w:sz w:val="28"/>
                            <w:szCs w:val="28"/>
                            <w:lang w:val="es-CL"/>
                          </w:rPr>
                        </w:pPr>
                        <w:r w:rsidRPr="00CF35CB">
                          <w:rPr>
                            <w:color w:val="1F3050"/>
                            <w:sz w:val="18"/>
                            <w:szCs w:val="28"/>
                            <w:lang w:val="es-CL"/>
                          </w:rPr>
                          <w:t>Componente fijo más componente variable por evento, en dólares</w:t>
                        </w:r>
                      </w:p>
                    </w:txbxContent>
                  </v:textbox>
                </v:roundrect>
                <v:roundrect id="Bloque 104" o:spid="_x0000_s1030" style="position:absolute;left:5400;top:12240;width:46800;height:612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" fillcolor="#dce6f1" strokecolor="#1f4e79">
                  <v:textbox inset="3.6pt,.5mm,3.6pt,.5mm">
                    <w:txbxContent>
                      <w:p w14:paraId="7BC264B9" w14:textId="77777777" w:rsidR="00C84A8D" w:rsidRPr="00CF35CB" w:rsidRDefault="00100C35">
                        <w:pPr>
                          <w:spacing w:after="0"/>
                          <w:jc w:val="center"/>
                          <w:rPr>
                            <w:sz w:val="28"/>
                            <w:szCs w:val="28"/>
                            <w:lang w:val="es-CL"/>
                          </w:rPr>
                        </w:pPr>
                        <w:r w:rsidRPr="00CF35CB">
                          <w:rPr>
                            <w:b/>
                            <w:color w:val="1F3050"/>
                            <w:sz w:val="18"/>
                            <w:szCs w:val="28"/>
                            <w:lang w:val="es-CL"/>
                          </w:rPr>
                          <w:t>Módulo de mitigación de fraude</w:t>
                        </w:r>
                      </w:p>
                      <w:p w14:paraId="6B9F07CA" w14:textId="77777777" w:rsidR="00C84A8D" w:rsidRPr="00CF35CB" w:rsidRDefault="00100C35">
                        <w:pPr>
                          <w:spacing w:after="0"/>
                          <w:jc w:val="center"/>
                          <w:rPr>
                            <w:sz w:val="28"/>
                            <w:szCs w:val="28"/>
                            <w:lang w:val="es-CL"/>
                          </w:rPr>
                        </w:pPr>
                        <w:r w:rsidRPr="00CF35CB">
                          <w:rPr>
                            <w:color w:val="1F3050"/>
                            <w:sz w:val="18"/>
                            <w:szCs w:val="28"/>
                            <w:lang w:val="es-CL"/>
                          </w:rPr>
                          <w:t>Flujos anuales de inversión (CAPEX) y de operación (OPEX) del esquema centralizado</w:t>
                        </w:r>
                      </w:p>
                    </w:txbxContent>
                  </v:textbox>
                </v:roundrect>
                <v:roundrect id="Bloque 105" o:spid="_x0000_s1031" style="position:absolute;left:5400;top:21240;width:46800;height:612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" fillcolor="#dce6f1" strokecolor="#1f4e79">
                  <v:textbox inset="3.6pt,.5mm,3.6pt,.5mm">
                    <w:txbxContent>
                      <w:p w14:paraId="02529398" w14:textId="77777777" w:rsidR="00C84A8D" w:rsidRPr="00CF35CB" w:rsidRDefault="00100C35">
                        <w:pPr>
                          <w:spacing w:after="0"/>
                          <w:jc w:val="center"/>
                          <w:rPr>
                            <w:sz w:val="28"/>
                            <w:szCs w:val="28"/>
                            <w:lang w:val="es-CL"/>
                          </w:rPr>
                        </w:pPr>
                        <w:r w:rsidRPr="00CF35CB">
                          <w:rPr>
                            <w:b/>
                            <w:color w:val="1F3050"/>
                            <w:sz w:val="18"/>
                            <w:szCs w:val="28"/>
                            <w:lang w:val="es-CL"/>
                          </w:rPr>
                          <w:t>Base de costos y cálculo tarifario</w:t>
                        </w:r>
                      </w:p>
                      <w:p w14:paraId="34F4E751" w14:textId="77777777" w:rsidR="00C84A8D" w:rsidRPr="00CF35CB" w:rsidRDefault="00100C35">
                        <w:pPr>
                          <w:spacing w:after="0"/>
                          <w:jc w:val="center"/>
                          <w:rPr>
                            <w:sz w:val="28"/>
                            <w:szCs w:val="28"/>
                            <w:lang w:val="es-CL"/>
                          </w:rPr>
                        </w:pPr>
                        <w:proofErr w:type="spellStart"/>
                        <w:r w:rsidRPr="00CF35CB">
                          <w:rPr>
                            <w:color w:val="1F3050"/>
                            <w:sz w:val="18"/>
                            <w:szCs w:val="28"/>
                            <w:lang w:val="es-CL"/>
                          </w:rPr>
                          <w:t>Anualización</w:t>
                        </w:r>
                        <w:proofErr w:type="spellEnd"/>
                        <w:r w:rsidRPr="00CF35CB">
                          <w:rPr>
                            <w:color w:val="1F3050"/>
                            <w:sz w:val="18"/>
                            <w:szCs w:val="28"/>
                            <w:lang w:val="es-CL"/>
                          </w:rPr>
                          <w:t xml:space="preserve"> de la inversión y costo total de largo plazo (CTLP) en valor presente</w:t>
                        </w:r>
                      </w:p>
                    </w:txbxContent>
                  </v:textbox>
                </v:roundrect>
                <v:roundrect id="Bloque 106" o:spid="_x0000_s1032" style="position:absolute;left:5400;top:30240;width:46800;height:612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" fillcolor="#dce6f1" strokecolor="#1f4e79">
                  <v:textbox inset="3.6pt,.5mm,3.6pt,.5mm">
                    <w:txbxContent>
                      <w:p w14:paraId="6129486F" w14:textId="77777777" w:rsidR="00C84A8D" w:rsidRPr="00CF35CB" w:rsidRDefault="00100C35">
                        <w:pPr>
                          <w:spacing w:after="0"/>
                          <w:jc w:val="center"/>
                          <w:rPr>
                            <w:sz w:val="28"/>
                            <w:szCs w:val="28"/>
                            <w:lang w:val="es-CL"/>
                          </w:rPr>
                        </w:pPr>
                        <w:r w:rsidRPr="00CF35CB">
                          <w:rPr>
                            <w:b/>
                            <w:color w:val="1F3050"/>
                            <w:sz w:val="18"/>
                            <w:szCs w:val="28"/>
                            <w:lang w:val="es-CL"/>
                          </w:rPr>
                          <w:t>Asignación de costos</w:t>
                        </w:r>
                      </w:p>
                      <w:p w14:paraId="07CCAB96" w14:textId="77777777" w:rsidR="00C84A8D" w:rsidRPr="00CF35CB" w:rsidRDefault="00100C35">
                        <w:pPr>
                          <w:spacing w:after="0"/>
                          <w:jc w:val="center"/>
                          <w:rPr>
                            <w:sz w:val="28"/>
                            <w:szCs w:val="28"/>
                            <w:lang w:val="es-CL"/>
                          </w:rPr>
                        </w:pPr>
                        <w:r w:rsidRPr="00CF35CB">
                          <w:rPr>
                            <w:color w:val="1F3050"/>
                            <w:sz w:val="18"/>
                            <w:szCs w:val="28"/>
                            <w:lang w:val="es-CL"/>
                          </w:rPr>
                          <w:t>La cascada de asignadores imputa el costo del programa al servicio SMS A2P</w:t>
                        </w:r>
                      </w:p>
                    </w:txbxContent>
                  </v:textbox>
                </v:roundrect>
                <v:roundrect id="Bloque 107" o:spid="_x0000_s1033" style="position:absolute;left:5400;top:39240;width:46800;height:720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" fillcolor="#fff2cc" strokecolor="#1f4e79">
                  <v:textbox inset="3.6pt,.5mm,3.6pt,.5mm">
                    <w:txbxContent>
                      <w:p w14:paraId="7D456706" w14:textId="77777777" w:rsidR="00C84A8D" w:rsidRPr="00CF35CB" w:rsidRDefault="00100C35">
                        <w:pPr>
                          <w:spacing w:after="0"/>
                          <w:jc w:val="center"/>
                          <w:rPr>
                            <w:sz w:val="28"/>
                            <w:szCs w:val="28"/>
                            <w:lang w:val="es-CL"/>
                          </w:rPr>
                        </w:pPr>
                        <w:r w:rsidRPr="00CF35CB">
                          <w:rPr>
                            <w:b/>
                            <w:color w:val="1F3050"/>
                            <w:sz w:val="18"/>
                            <w:szCs w:val="28"/>
                            <w:lang w:val="es-CL"/>
                          </w:rPr>
                          <w:t>Costo unitario adicional del mensaje A2P</w:t>
                        </w:r>
                      </w:p>
                      <w:p w14:paraId="6A8E447E" w14:textId="77777777" w:rsidR="00C84A8D" w:rsidRPr="00CF35CB" w:rsidRDefault="00100C35">
                        <w:pPr>
                          <w:spacing w:after="0"/>
                          <w:jc w:val="center"/>
                          <w:rPr>
                            <w:sz w:val="28"/>
                            <w:szCs w:val="28"/>
                            <w:lang w:val="es-CL"/>
                          </w:rPr>
                        </w:pPr>
                        <w:r w:rsidRPr="00CF35CB">
                          <w:rPr>
                            <w:color w:val="1F3050"/>
                            <w:sz w:val="18"/>
                            <w:szCs w:val="28"/>
                            <w:lang w:val="es-CL"/>
                          </w:rPr>
                          <w:t>CTLP dividido por la demanda A2P en valor presente, con ajuste por capital de trabajo y contribución regulatoria</w:t>
                        </w:r>
                      </w:p>
                    </w:txbxContent>
                  </v:textbox>
                </v:roundrect>
                <v:shapetype id="_x0000_t32" coordsize="21600,21600" o:spt="32" o:oned="t" path="m,l21600,21600e" filled="f">
                  <v:path arrowok="t" fillok="f" o:connecttype="none"/>
                  <o:lock v:ext="edit" shapetype="t"/>
                </v:shapetype>
                <v:shape id="Conector 108" o:spid="_x0000_s1034" type="#_x0000_t32" style="position:absolute;left:9000;top:9360;width:9000;height:28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" strokecolor="#1f4e79" strokeweight="1pt">
                  <v:stroke endarrow="block"/>
                </v:shape>
                <v:shape id="Conector 109" o:spid="_x0000_s1035" type="#_x0000_t32" style="position:absolute;left:28800;top:9360;width:0;height:28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" strokecolor="#1f4e79" strokeweight="1pt">
                  <v:stroke endarrow="block"/>
                </v:shape>
                <v:shape id="Conector 110" o:spid="_x0000_s1036" type="#_x0000_t32" style="position:absolute;left:39600;top:9360;width:9000;height:28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" strokecolor="#1f4e79" strokeweight="1pt">
                  <v:stroke endarrow="block"/>
                </v:shape>
                <v:shape id="Conector 111" o:spid="_x0000_s1037" type="#_x0000_t32" style="position:absolute;left:28800;top:18359;width:0;height:2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" strokecolor="#1f4e79" strokeweight="1pt">
                  <v:stroke endarrow="block"/>
                </v:shape>
                <v:shape id="Conector 112" o:spid="_x0000_s1038" type="#_x0000_t32" style="position:absolute;left:28800;top:27360;width:0;height:2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" strokecolor="#1f4e79" strokeweight="1pt">
                  <v:stroke endarrow="block"/>
                </v:shape>
                <v:shape id="Conector 113" o:spid="_x0000_s1039" type="#_x0000_t32" style="position:absolute;left:28800;top:36360;width:0;height:2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" strokecolor="#1f4e79" strokeweight="1pt">
                  <v:stroke endarrow="block"/>
                </v:shape>
                <w10:anchorlock/>
              </v:group>
            </w:pict>
          </mc:Fallback>
        </mc:AlternateContent>
      </w:r>
    </w:p>
    <w:p w14:paraId="1C9FC521" w14:textId="77777777" w:rsidR="00C84A8D" w:rsidRDefault="00100C35">
      <w:pPr>
        <w:jc w:val="center"/>
        <w:rPr>
          <w:i/>
          <w:sz w:val="18"/>
          <w:lang w:val="es-CL"/>
        </w:rPr>
      </w:pPr>
      <w:r w:rsidRPr="00CF35CB">
        <w:rPr>
          <w:i/>
          <w:sz w:val="18"/>
          <w:lang w:val="es-CL"/>
        </w:rPr>
        <w:t>Figura 1. Flujo de información del modelo integrado.</w:t>
      </w:r>
    </w:p>
    <w:p w14:paraId="2CC8C279" w14:textId="77777777" w:rsidR="00E3315E" w:rsidRPr="00CF35CB" w:rsidRDefault="00E3315E">
      <w:pPr>
        <w:jc w:val="center"/>
        <w:rPr>
          <w:lang w:val="es-CL"/>
        </w:rPr>
      </w:pPr>
    </w:p>
    <w:p w14:paraId="385A4DEB" w14:textId="5A7E3E6D" w:rsidR="00C84A8D" w:rsidRPr="00CF35CB" w:rsidRDefault="00100C35">
      <w:pPr>
        <w:jc w:val="both"/>
        <w:rPr>
          <w:lang w:val="es-CL"/>
        </w:rPr>
      </w:pPr>
      <w:r w:rsidRPr="00CF35CB">
        <w:rPr>
          <w:lang w:val="es-CL"/>
        </w:rPr>
        <w:t xml:space="preserve">El punto de partida son los parámetros que definen el entorno financiero del cálculo: la tasa de costo de capital del sector, la tasa de tributación, el tipo de cambio y la contribución regulatoria sobre los ingresos, con un horizonte de estudio que cubre los años 2025 a 2030. A ese entorno se suman las proyecciones de demanda del propio modelo, que incluyen los abonados, el tráfico de voz y la mensajería en sus dos segmentos, con una serie específica de mensajes cortos empresariales entrantes; estas proyecciones constituyen los </w:t>
      </w:r>
      <w:r w:rsidR="00E3315E">
        <w:rPr>
          <w:lang w:val="es-CL"/>
        </w:rPr>
        <w:t xml:space="preserve">impulsores </w:t>
      </w:r>
      <w:r w:rsidRPr="00CF35CB">
        <w:rPr>
          <w:lang w:val="es-CL"/>
        </w:rPr>
        <w:t>(drivers) de los costos variables del programa.</w:t>
      </w:r>
    </w:p>
    <w:p w14:paraId="7B6BFC6C" w14:textId="77777777" w:rsidR="00C84A8D" w:rsidRPr="00CF35CB" w:rsidRDefault="00100C35">
      <w:pPr>
        <w:jc w:val="both"/>
        <w:rPr>
          <w:lang w:val="es-CL"/>
        </w:rPr>
      </w:pPr>
      <w:r w:rsidRPr="00CF35CB">
        <w:rPr>
          <w:lang w:val="es-CL"/>
        </w:rPr>
        <w:t>Sobre esos insumos, el módulo de fraude costea cada componente del programa con una estructura mixta, integrada por un costo base fijo y un costo marginal que escala con el conductor pertinente, sean mensajes A2P, mensajes P2P, eventos de voz o abonados. El resultado son los flujos anuales de inversión y de gasto de operación del esquema centralizado, que ingresan a la base de costos del modelo; allí la inversión se anualiza según su vida útil y el conjunto se expresa como costo total de largo plazo (CTLP) en valor presente, descontado al costo de capital del sector. Finalmente, una cascada de asignadores imputa el costo del programa al servicio de mensajería empresarial y el cálculo tarifario lo divide por la demanda A2P en valor presente, con los ajustes por capital de trabajo y por contribución regulatoria, para obtener el costo unitario adicional por mensaje A2P.</w:t>
      </w:r>
    </w:p>
    <w:p w14:paraId="78BFA315" w14:textId="77777777" w:rsidR="00C84A8D" w:rsidRPr="00CF35CB" w:rsidRDefault="00100C35">
      <w:pPr>
        <w:jc w:val="both"/>
        <w:rPr>
          <w:lang w:val="es-CL"/>
        </w:rPr>
      </w:pPr>
      <w:r w:rsidRPr="00CF35CB">
        <w:rPr>
          <w:lang w:val="es-CL"/>
        </w:rPr>
        <w:t>Los componentes costeados en el módulo de fraude corresponden a las alternativas seleccionadas en la evaluación de alternativas del proyecto regulatorio. La sección 4 describe la función de cada uno de ellos y la naturaleza económica de su costo.</w:t>
      </w:r>
    </w:p>
    <w:p w14:paraId="6AE0538A" w14:textId="77777777" w:rsidR="00C84A8D" w:rsidRPr="00CF35CB" w:rsidRDefault="00100C35">
      <w:pPr>
        <w:pStyle w:val="Ttulo1"/>
        <w:rPr>
          <w:lang w:val="es-CL"/>
        </w:rPr>
      </w:pPr>
      <w:r w:rsidRPr="00CF35CB">
        <w:rPr>
          <w:color w:val="1F4E79"/>
          <w:lang w:val="es-CL"/>
        </w:rPr>
        <w:t>4. Descripción general de los componentes de la solución</w:t>
      </w:r>
    </w:p>
    <w:p w14:paraId="3AF1B92A" w14:textId="77777777" w:rsidR="00C84A8D" w:rsidRPr="00CF35CB" w:rsidRDefault="00100C35">
      <w:pPr>
        <w:jc w:val="both"/>
        <w:rPr>
          <w:lang w:val="es-CL"/>
        </w:rPr>
      </w:pPr>
      <w:r w:rsidRPr="00CF35CB">
        <w:rPr>
          <w:lang w:val="es-CL"/>
        </w:rPr>
        <w:t>La solución de mitigación no es una medida única, sino un conjunto de capacidades que se apoyan en una plataforma común. Su costeo en el modelo sigue una estructura mixta en la que cada componente combina un costo base fijo, representativo de la capacidad instalada, con un costo marginal que escala con su conductor de demanda, según se formaliza en la sección 5. El modelo aplica además un tratamiento explícito del doble conteo: la infraestructura de detección se paga una sola vez en la plataforma común y las medidas específicas se valoran únicamente como capacidad incremental sobre esa base, y cuando una función ya queda resuelta por otra se marca como cubierta y se valora en cero, de manera que la trazabilidad funcional se conserva sin sumar dos veces el mismo costo.</w:t>
      </w:r>
    </w:p>
    <w:p w14:paraId="6659469D" w14:textId="77777777" w:rsidR="00C84A8D" w:rsidRPr="00CF35CB" w:rsidRDefault="00100C35">
      <w:pPr>
        <w:pStyle w:val="Ttulo2"/>
        <w:rPr>
          <w:lang w:val="es-CL"/>
        </w:rPr>
      </w:pPr>
      <w:r w:rsidRPr="00CF35CB">
        <w:rPr>
          <w:color w:val="1F4E79"/>
          <w:lang w:val="es-CL"/>
        </w:rPr>
        <w:t>4.1 Plataforma común de gestión de fraude</w:t>
      </w:r>
    </w:p>
    <w:p w14:paraId="09F6E462" w14:textId="33C42077" w:rsidR="00C84A8D" w:rsidRPr="00CF35CB" w:rsidRDefault="00100C35">
      <w:pPr>
        <w:jc w:val="both"/>
        <w:rPr>
          <w:lang w:val="es-CL"/>
        </w:rPr>
      </w:pPr>
      <w:r w:rsidRPr="00CF35CB">
        <w:rPr>
          <w:lang w:val="es-CL"/>
        </w:rPr>
        <w:t xml:space="preserve">Constituye el núcleo del programa: un sistema de gestión de fraude de clase operador (FMS, </w:t>
      </w:r>
      <w:proofErr w:type="spellStart"/>
      <w:r w:rsidRPr="00CF35CB">
        <w:rPr>
          <w:lang w:val="es-CL"/>
        </w:rPr>
        <w:t>Fraud</w:t>
      </w:r>
      <w:proofErr w:type="spellEnd"/>
      <w:r w:rsidRPr="00CF35CB">
        <w:rPr>
          <w:lang w:val="es-CL"/>
        </w:rPr>
        <w:t xml:space="preserve"> Management </w:t>
      </w:r>
      <w:proofErr w:type="spellStart"/>
      <w:r w:rsidRPr="00CF35CB">
        <w:rPr>
          <w:lang w:val="es-CL"/>
        </w:rPr>
        <w:t>System</w:t>
      </w:r>
      <w:proofErr w:type="spellEnd"/>
      <w:r w:rsidRPr="00CF35CB">
        <w:rPr>
          <w:lang w:val="es-CL"/>
        </w:rPr>
        <w:t xml:space="preserve">), acompañado de su tablero de monitoreo, su centro de operación permanente, su equipo de analistas y las fuentes externas de inteligencia de amenazas. Concentra el motor común de reglas y de aprendizaje automático que alimenta a las demás funciones, tanto de </w:t>
      </w:r>
      <w:r w:rsidR="00E3315E">
        <w:rPr>
          <w:lang w:val="es-CL"/>
        </w:rPr>
        <w:t>mensajería</w:t>
      </w:r>
      <w:r w:rsidRPr="00CF35CB">
        <w:rPr>
          <w:lang w:val="es-CL"/>
        </w:rPr>
        <w:t xml:space="preserve"> como de </w:t>
      </w:r>
      <w:r w:rsidR="00E3315E">
        <w:rPr>
          <w:lang w:val="es-CL"/>
        </w:rPr>
        <w:t>su uso potencial en voz</w:t>
      </w:r>
      <w:r w:rsidRPr="00CF35CB">
        <w:rPr>
          <w:lang w:val="es-CL"/>
        </w:rPr>
        <w:t>.</w:t>
      </w:r>
    </w:p>
    <w:p w14:paraId="5FA433EE" w14:textId="0D241191" w:rsidR="00C84A8D" w:rsidRPr="00CF35CB" w:rsidRDefault="00100C35">
      <w:pPr>
        <w:jc w:val="both"/>
        <w:rPr>
          <w:lang w:val="es-CL"/>
        </w:rPr>
      </w:pPr>
      <w:r w:rsidRPr="00CF35CB">
        <w:rPr>
          <w:lang w:val="es-CL"/>
        </w:rPr>
        <w:t>Económicamente es un costo de carácter compartido</w:t>
      </w:r>
      <w:r w:rsidR="00E3315E">
        <w:rPr>
          <w:lang w:val="es-CL"/>
        </w:rPr>
        <w:t xml:space="preserve"> y base entre las alternativas</w:t>
      </w:r>
      <w:r w:rsidRPr="00CF35CB">
        <w:rPr>
          <w:lang w:val="es-CL"/>
        </w:rPr>
        <w:t>: se instala una sola vez y sirve de manera simultánea a todas las medidas, por lo que el modelo lo costea en un único bloque y las demás capacidades se valoran solamente como capacidad incremental sobre esta base. Es el componente más intensivo en capital y el que genera las mayores economías de alcance.</w:t>
      </w:r>
    </w:p>
    <w:p w14:paraId="3969115F" w14:textId="77777777" w:rsidR="00C84A8D" w:rsidRPr="00CF35CB" w:rsidRDefault="00100C35">
      <w:pPr>
        <w:pStyle w:val="Ttulo2"/>
        <w:rPr>
          <w:lang w:val="es-CL"/>
        </w:rPr>
      </w:pPr>
      <w:r w:rsidRPr="00CF35CB">
        <w:rPr>
          <w:color w:val="1F4E79"/>
          <w:lang w:val="es-CL"/>
        </w:rPr>
        <w:lastRenderedPageBreak/>
        <w:t>4.2 Identificador de remitente para el tráfico A2P</w:t>
      </w:r>
    </w:p>
    <w:p w14:paraId="0ECC302C" w14:textId="77777777" w:rsidR="00C84A8D" w:rsidRPr="00CF35CB" w:rsidRDefault="00100C35">
      <w:pPr>
        <w:jc w:val="both"/>
        <w:rPr>
          <w:lang w:val="es-CL"/>
        </w:rPr>
      </w:pPr>
      <w:r w:rsidRPr="00CF35CB">
        <w:rPr>
          <w:lang w:val="es-CL"/>
        </w:rPr>
        <w:t>Obliga a que los mensajes de empresas viajen con un identificador alfanumérico registrado y reconocible por el usuario. Su lógica consiste en trasladar la confianza desde el número de origen, fácil de falsificar, hacia una identidad declarada y verificada. Su costo propio es reducido porque reutiliza el cortafuegos y el registro central de las demás medidas; lo relevante es el costo transaccional, pues cada mensaje genera una consulta de validación contra el registro, que el modelo captura en el componente variable asociado al volumen de mensajes A2P.</w:t>
      </w:r>
    </w:p>
    <w:p w14:paraId="4A60C679" w14:textId="77777777" w:rsidR="00C84A8D" w:rsidRPr="00CF35CB" w:rsidRDefault="00100C35">
      <w:pPr>
        <w:pStyle w:val="Ttulo2"/>
        <w:rPr>
          <w:lang w:val="es-CL"/>
        </w:rPr>
      </w:pPr>
      <w:r w:rsidRPr="00CF35CB">
        <w:rPr>
          <w:color w:val="1F4E79"/>
          <w:lang w:val="es-CL"/>
        </w:rPr>
        <w:t>4.3 Validación centralizada de originadores</w:t>
      </w:r>
    </w:p>
    <w:p w14:paraId="7DAAFC86" w14:textId="77777777" w:rsidR="00C84A8D" w:rsidRPr="00CF35CB" w:rsidRDefault="00100C35">
      <w:pPr>
        <w:jc w:val="both"/>
        <w:rPr>
          <w:lang w:val="es-CL"/>
        </w:rPr>
      </w:pPr>
      <w:r w:rsidRPr="00CF35CB">
        <w:rPr>
          <w:lang w:val="es-CL"/>
        </w:rPr>
        <w:t>Es el núcleo de la integridad del canal empresarial. Combina la verificación de identidad de los originadores (KYC), el registro de marcas y campañas, la base de datos de proveedores de contenido y aplicaciones y el cortafuegos de mensajería. Su lógica económica es la de una infraestructura central a la cual se conectan todos los actores y cuyo costo se reparte entre ellos. El modelo la valora como capacidad incremental sobre la plataforma común, de modo que no se paga dos veces el motor de detección ya instalado, y asume su operación por un tercero designado, cuyos cargos corresponden a precios de mercado y no a ingresos del regulador.</w:t>
      </w:r>
    </w:p>
    <w:p w14:paraId="23A6A874" w14:textId="77777777" w:rsidR="00C84A8D" w:rsidRPr="00CF35CB" w:rsidRDefault="00100C35">
      <w:pPr>
        <w:pStyle w:val="Ttulo2"/>
        <w:rPr>
          <w:lang w:val="es-CL"/>
        </w:rPr>
      </w:pPr>
      <w:r w:rsidRPr="00CF35CB">
        <w:rPr>
          <w:color w:val="1F4E79"/>
          <w:lang w:val="es-CL"/>
        </w:rPr>
        <w:t>4.4 Control de patrones de tráfico atípico en mensajería P2P</w:t>
      </w:r>
    </w:p>
    <w:p w14:paraId="4B9922B6" w14:textId="77777777" w:rsidR="00C84A8D" w:rsidRPr="00CF35CB" w:rsidRDefault="00100C35">
      <w:pPr>
        <w:jc w:val="both"/>
        <w:rPr>
          <w:lang w:val="es-CL"/>
        </w:rPr>
      </w:pPr>
      <w:r w:rsidRPr="00CF35CB">
        <w:rPr>
          <w:lang w:val="es-CL"/>
        </w:rPr>
        <w:t>Atiende el uso abusivo de los planes de mensajería entre personas como vector de fraude masivo y de arbitraje de rutas. No constituye una plataforma nueva, sino un afinamiento especializado del motor común: reglas, umbrales y modelos entrenados para detectar comportamientos atípicos de alta cardinalidad. Por esa razón su costo es predominantemente recurrente, asociado al monitoreo, al reentrenamiento de los modelos y a la reacción operativa, lo que el modelo refleja con un peso mayor del gasto de operación que de la inversión.</w:t>
      </w:r>
    </w:p>
    <w:p w14:paraId="4CD57F47" w14:textId="77777777" w:rsidR="00C84A8D" w:rsidRPr="00CF35CB" w:rsidRDefault="00100C35">
      <w:pPr>
        <w:pStyle w:val="Ttulo2"/>
        <w:rPr>
          <w:lang w:val="es-CL"/>
        </w:rPr>
      </w:pPr>
      <w:r w:rsidRPr="00CF35CB">
        <w:rPr>
          <w:color w:val="1F4E79"/>
          <w:lang w:val="es-CL"/>
        </w:rPr>
        <w:t>4.5 Mecanismo formal de coordinación</w:t>
      </w:r>
    </w:p>
    <w:p w14:paraId="3580947F" w14:textId="77777777" w:rsidR="00C84A8D" w:rsidRPr="00CF35CB" w:rsidRDefault="00100C35">
      <w:pPr>
        <w:jc w:val="both"/>
        <w:rPr>
          <w:lang w:val="es-CL"/>
        </w:rPr>
      </w:pPr>
      <w:r w:rsidRPr="00CF35CB">
        <w:rPr>
          <w:lang w:val="es-CL"/>
        </w:rPr>
        <w:t>Establece un esquema liviano de articulación entre operadores y autoridades para intercambiar alertas y consolidar evidencia sobre el fraude telefónico. No se trata de una plataforma nacional de alertas, sino de un costo institucional de coordinación y de secretaría técnica. Su racionalidad económica es reducir la asimetría de información entre los agentes a un costo mínimo, aprovechando los canales seguros que ofrece la propia plataforma común.</w:t>
      </w:r>
    </w:p>
    <w:p w14:paraId="20CD8D7A" w14:textId="77777777" w:rsidR="00C84A8D" w:rsidRPr="00CF35CB" w:rsidRDefault="00100C35">
      <w:pPr>
        <w:pStyle w:val="Ttulo2"/>
        <w:rPr>
          <w:lang w:val="es-CL"/>
        </w:rPr>
      </w:pPr>
      <w:r w:rsidRPr="00CF35CB">
        <w:rPr>
          <w:color w:val="1F4E79"/>
          <w:lang w:val="es-CL"/>
        </w:rPr>
        <w:t>4.6 Monitoreo y etiquetado de llamadas</w:t>
      </w:r>
    </w:p>
    <w:p w14:paraId="08B943C9" w14:textId="77777777" w:rsidR="00C84A8D" w:rsidRPr="00CF35CB" w:rsidRDefault="00100C35">
      <w:pPr>
        <w:jc w:val="both"/>
        <w:rPr>
          <w:lang w:val="es-CL"/>
        </w:rPr>
      </w:pPr>
      <w:r w:rsidRPr="00CF35CB">
        <w:rPr>
          <w:lang w:val="es-CL"/>
        </w:rPr>
        <w:t>Permite marcar y tratar de manera diferenciada las llamadas según su reputación, apoyándose en el controlador de sesión de borde (SBC) de la red. Introduce una señal de confianza para el usuario final sin recurrir a bloqueos indiscriminados. El componente de mayor peso es el nodo SBC de clase operador; sobre este se agregan una capa de reglas y un costo transaccional por llamada evaluada, que el modelo asocia al conductor de eventos de voz.</w:t>
      </w:r>
    </w:p>
    <w:p w14:paraId="466A2DEA" w14:textId="77777777" w:rsidR="00C84A8D" w:rsidRPr="00CF35CB" w:rsidRDefault="00100C35">
      <w:pPr>
        <w:pStyle w:val="Ttulo2"/>
        <w:rPr>
          <w:lang w:val="es-CL"/>
        </w:rPr>
      </w:pPr>
      <w:r w:rsidRPr="00CF35CB">
        <w:rPr>
          <w:color w:val="1F4E79"/>
          <w:lang w:val="es-CL"/>
        </w:rPr>
        <w:t xml:space="preserve">4.7 Listas propias de no </w:t>
      </w:r>
      <w:proofErr w:type="spellStart"/>
      <w:r w:rsidRPr="00CF35CB">
        <w:rPr>
          <w:color w:val="1F4E79"/>
          <w:lang w:val="es-CL"/>
        </w:rPr>
        <w:t>originación</w:t>
      </w:r>
      <w:proofErr w:type="spellEnd"/>
    </w:p>
    <w:p w14:paraId="7270572D" w14:textId="77777777" w:rsidR="00C84A8D" w:rsidRPr="00CF35CB" w:rsidRDefault="00100C35">
      <w:pPr>
        <w:jc w:val="both"/>
        <w:rPr>
          <w:lang w:val="es-CL"/>
        </w:rPr>
      </w:pPr>
      <w:r w:rsidRPr="00CF35CB">
        <w:rPr>
          <w:lang w:val="es-CL"/>
        </w:rPr>
        <w:t>Implementa, al nivel de cada operador, una lista de números que no deben originar ciertas llamadas, con su motor de consulta y su depuración periódica. Corresponde a la versión descentralizada y de menor costo del concepto, pues evita levantar un registro nacional y radica la responsabilidad en el operador. La eventual centralización del registro es una decisión de política pública separada, con costos adicionales que no forman parte de este ejercicio.</w:t>
      </w:r>
    </w:p>
    <w:p w14:paraId="5ACD4C23" w14:textId="77777777" w:rsidR="00C84A8D" w:rsidRPr="00CF35CB" w:rsidRDefault="00100C35">
      <w:pPr>
        <w:pStyle w:val="Ttulo2"/>
        <w:rPr>
          <w:lang w:val="es-CL"/>
        </w:rPr>
      </w:pPr>
      <w:r w:rsidRPr="00CF35CB">
        <w:rPr>
          <w:color w:val="1F4E79"/>
          <w:lang w:val="es-CL"/>
        </w:rPr>
        <w:lastRenderedPageBreak/>
        <w:t>4.8 Bloqueo del enmascaramiento de identificador</w:t>
      </w:r>
    </w:p>
    <w:p w14:paraId="10EEBF0C" w14:textId="77777777" w:rsidR="00C84A8D" w:rsidRPr="00CF35CB" w:rsidRDefault="00100C35">
      <w:pPr>
        <w:jc w:val="both"/>
        <w:rPr>
          <w:lang w:val="es-CL"/>
        </w:rPr>
      </w:pPr>
      <w:r w:rsidRPr="00CF35CB">
        <w:rPr>
          <w:lang w:val="es-CL"/>
        </w:rPr>
        <w:t>Bloquea las llamadas provenientes del exterior que presentan un identificador de origen colombiano inconsistente, una de las puertas de entrada más frecuentes del fraude telefónico. Es un ajuste incremental de reglas sobre la red existente y no equivale a la autenticación criptográfica de origen (STIR/SHAKEN): ofrece una defensa conservadora y de bajo costo frente al vector internacional, sin desplegar una arquitectura completa de certificación de llamadas.</w:t>
      </w:r>
    </w:p>
    <w:p w14:paraId="3223EB27" w14:textId="77777777" w:rsidR="00C84A8D" w:rsidRPr="00CF35CB" w:rsidRDefault="00100C35">
      <w:pPr>
        <w:pStyle w:val="Ttulo1"/>
        <w:rPr>
          <w:lang w:val="es-CL"/>
        </w:rPr>
      </w:pPr>
      <w:r w:rsidRPr="00CF35CB">
        <w:rPr>
          <w:color w:val="1F4E79"/>
          <w:lang w:val="es-CL"/>
        </w:rPr>
        <w:t>5. Formulación metodológica</w:t>
      </w:r>
    </w:p>
    <w:p w14:paraId="27010F10" w14:textId="42F7595D" w:rsidR="00C84A8D" w:rsidRPr="00CF35CB" w:rsidRDefault="00100C35">
      <w:pPr>
        <w:jc w:val="both"/>
        <w:rPr>
          <w:lang w:val="es-CL"/>
        </w:rPr>
      </w:pPr>
      <w:r w:rsidRPr="00CF35CB">
        <w:rPr>
          <w:lang w:val="es-CL"/>
        </w:rPr>
        <w:t xml:space="preserve">Esta sección presenta las expresiones generales del cálculo. La notación es conceptual: </w:t>
      </w:r>
      <m:oMath>
        <m:r>
          <w:rPr>
            <w:rFonts w:ascii="Cambria Math" w:hAnsi="Cambria Math"/>
          </w:rPr>
          <m:t>C</m:t>
        </m:r>
      </m:oMath>
      <w:r w:rsidRPr="00CF35CB">
        <w:rPr>
          <w:lang w:val="es-CL"/>
        </w:rPr>
        <w:t xml:space="preserve"> designa costos, </w:t>
      </w:r>
      <m:oMath>
        <m:r>
          <w:rPr>
            <w:rFonts w:ascii="Cambria Math" w:hAnsi="Cambria Math"/>
          </w:rPr>
          <m:t>D</m:t>
        </m:r>
      </m:oMath>
      <w:r w:rsidRPr="00CF35CB">
        <w:rPr>
          <w:lang w:val="es-CL"/>
        </w:rPr>
        <w:t xml:space="preserve"> </w:t>
      </w:r>
      <w:r w:rsidR="00B95D69">
        <w:rPr>
          <w:lang w:val="es-CL"/>
        </w:rPr>
        <w:t>impulsores</w:t>
      </w:r>
      <w:r w:rsidRPr="00CF35CB">
        <w:rPr>
          <w:lang w:val="es-CL"/>
        </w:rPr>
        <w:t xml:space="preserve"> de demanda, </w:t>
      </w:r>
      <m:oMath>
        <m:r>
          <w:rPr>
            <w:rFonts w:ascii="Cambria Math" w:hAnsi="Cambria Math"/>
          </w:rPr>
          <m:t>Q</m:t>
        </m:r>
      </m:oMath>
      <w:r w:rsidRPr="00CF35CB">
        <w:rPr>
          <w:lang w:val="es-CL"/>
        </w:rPr>
        <w:t xml:space="preserve"> la demanda del servicio de mensajería empresarial, </w:t>
      </w:r>
      <w:r w:rsidRPr="00B95D69">
        <w:rPr>
          <w:i/>
          <w:iCs/>
          <w:lang w:val="es-CL"/>
        </w:rPr>
        <w:t>r</w:t>
      </w:r>
      <w:r w:rsidRPr="00CF35CB">
        <w:rPr>
          <w:lang w:val="es-CL"/>
        </w:rPr>
        <w:t xml:space="preserve"> la tasa de costo de capital, </w:t>
      </w:r>
      <m:oMath>
        <m:r>
          <w:rPr>
            <w:rFonts w:ascii="Cambria Math" w:hAnsi="Cambria Math"/>
          </w:rPr>
          <m:t>u</m:t>
        </m:r>
      </m:oMath>
      <w:r w:rsidRPr="00CF35CB">
        <w:rPr>
          <w:lang w:val="es-CL"/>
        </w:rPr>
        <w:t xml:space="preserve"> la vida útil de los activos, </w:t>
      </w:r>
      <m:oMath>
        <m:r>
          <w:rPr>
            <w:rFonts w:ascii="Cambria Math" w:hAnsi="Cambria Math"/>
          </w:rPr>
          <m:t>d</m:t>
        </m:r>
      </m:oMath>
      <w:r w:rsidRPr="00CF35CB">
        <w:rPr>
          <w:lang w:val="es-CL"/>
        </w:rPr>
        <w:t xml:space="preserve"> la proporción del año correspondiente al ciclo de facturación, la letra griega tau la tasa de tributación y c la contribución regulatoria sobre los ingresos.</w:t>
      </w:r>
    </w:p>
    <w:p w14:paraId="6EAB8EC2" w14:textId="3D801067" w:rsidR="00C84A8D" w:rsidRPr="00CF35CB" w:rsidRDefault="00100C35">
      <w:pPr>
        <w:jc w:val="both"/>
        <w:rPr>
          <w:lang w:val="es-CL"/>
        </w:rPr>
      </w:pPr>
      <w:r w:rsidRPr="00CF35CB">
        <w:rPr>
          <w:lang w:val="es-CL"/>
        </w:rPr>
        <w:t xml:space="preserve">Cada componente </w:t>
      </w:r>
      <m:oMath>
        <m:r>
          <w:rPr>
            <w:rFonts w:ascii="Cambria Math" w:hAnsi="Cambria Math"/>
          </w:rPr>
          <m:t>k</m:t>
        </m:r>
      </m:oMath>
      <w:r w:rsidRPr="00CF35CB">
        <w:rPr>
          <w:lang w:val="es-CL"/>
        </w:rPr>
        <w:t xml:space="preserve"> del programa combina un costo base fijo y un costo marginal aplicado a su conductor de demanda, expresados en dólares y convertidos a pesos con el tipo de cambio:</w:t>
      </w:r>
    </w:p>
    <w:p w14:paraId="4690A049" w14:textId="451A64DC" w:rsidR="00C84A8D" w:rsidRDefault="006E02DB">
      <w:pPr>
        <w:jc w:val="center"/>
      </w:pPr>
      <m:oMathPara>
        <m:oMath>
          <m:sSub>
            <m:sSubPr>
              <m:ctrlPr>
                <w:rPr>
                  <w:rFonts w:ascii="Cambria Math" w:hAnsi="Cambria Math"/>
                </w:rPr>
              </m:ctrlPr>
            </m:sSubPr>
            <m:e>
              <m:r>
                <w:rPr>
                  <w:rFonts w:ascii="Cambria Math" w:hAnsi="Cambria Math"/>
                </w:rPr>
                <m:t>C</m:t>
              </m:r>
            </m:e>
            <m:sub>
              <m:r>
                <w:rPr>
                  <w:rFonts w:ascii="Cambria Math" w:hAnsi="Cambria Math"/>
                </w:rPr>
                <m:t>k,t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CB</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cm</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j(k),t</m:t>
                  </m:r>
                </m:sub>
              </m:sSub>
            </m:e>
          </m:d>
          <m:r>
            <w:rPr>
              <w:rFonts w:ascii="Cambria Math" w:hAnsi="Cambria Math"/>
            </w:rPr>
            <m:t>·</m:t>
          </m:r>
          <m:r>
            <m:rPr>
              <m:sty m:val="p"/>
            </m:rPr>
            <w:rPr>
              <w:rFonts w:ascii="Cambria Math" w:hAnsi="Cambria Math"/>
            </w:rPr>
            <m:t>TC</m:t>
          </m:r>
          <m:r>
            <w:rPr>
              <w:rFonts w:ascii="Cambria Math" w:hAnsi="Cambria Math"/>
            </w:rPr>
            <m:t xml:space="preserve"> </m:t>
          </m:r>
        </m:oMath>
      </m:oMathPara>
    </w:p>
    <w:p w14:paraId="3561FB71" w14:textId="091D17FB" w:rsidR="00C84A8D" w:rsidRPr="00CF35CB" w:rsidRDefault="00100C35">
      <w:pPr>
        <w:jc w:val="both"/>
        <w:rPr>
          <w:lang w:val="es-CL"/>
        </w:rPr>
      </w:pPr>
      <w:r w:rsidRPr="00CF35CB">
        <w:rPr>
          <w:lang w:val="es-CL"/>
        </w:rPr>
        <w:t xml:space="preserve">donde </w:t>
      </w:r>
      <m:oMath>
        <m:r>
          <w:rPr>
            <w:rFonts w:ascii="Cambria Math" w:hAnsi="Cambria Math"/>
          </w:rPr>
          <m:t>CB</m:t>
        </m:r>
      </m:oMath>
      <w:r w:rsidRPr="00CF35CB">
        <w:rPr>
          <w:lang w:val="es-CL"/>
        </w:rPr>
        <w:t xml:space="preserve"> es el costo base del componente, </w:t>
      </w:r>
      <m:oMath>
        <m:r>
          <w:rPr>
            <w:rFonts w:ascii="Cambria Math" w:hAnsi="Cambria Math"/>
          </w:rPr>
          <m:t>cm</m:t>
        </m:r>
      </m:oMath>
      <w:r w:rsidRPr="00CF35CB">
        <w:rPr>
          <w:lang w:val="es-CL"/>
        </w:rPr>
        <w:t xml:space="preserve"> su costo marginal, </w:t>
      </w:r>
      <m:oMath>
        <m:r>
          <w:rPr>
            <w:rFonts w:ascii="Cambria Math" w:hAnsi="Cambria Math"/>
          </w:rPr>
          <m:t>D</m:t>
        </m:r>
      </m:oMath>
      <w:r w:rsidRPr="00CF35CB">
        <w:rPr>
          <w:lang w:val="es-CL"/>
        </w:rPr>
        <w:t xml:space="preserve"> el conductor de demanda que le corresponde en el año </w:t>
      </w:r>
      <m:oMath>
        <m:r>
          <w:rPr>
            <w:rFonts w:ascii="Cambria Math" w:hAnsi="Cambria Math"/>
          </w:rPr>
          <m:t>t</m:t>
        </m:r>
      </m:oMath>
      <w:r w:rsidRPr="00CF35CB">
        <w:rPr>
          <w:lang w:val="es-CL"/>
        </w:rPr>
        <w:t xml:space="preserve"> y </w:t>
      </w:r>
      <m:oMath>
        <m:r>
          <w:rPr>
            <w:rFonts w:ascii="Cambria Math" w:hAnsi="Cambria Math"/>
          </w:rPr>
          <m:t>TC</m:t>
        </m:r>
      </m:oMath>
      <w:r w:rsidRPr="00CF35CB">
        <w:rPr>
          <w:lang w:val="es-CL"/>
        </w:rPr>
        <w:t xml:space="preserve"> el tipo de cambio. Los flujos anuales de inversión y de operación del programa resultan de agregar los componentes según su naturaleza:</w:t>
      </w:r>
    </w:p>
    <w:p w14:paraId="0AF7FF9C" w14:textId="209C2F0E" w:rsidR="00C84A8D" w:rsidRDefault="006E02DB">
      <w:pPr>
        <w:jc w:val="center"/>
      </w:pPr>
      <m:oMathPara>
        <m:oMath>
          <m:sSub>
            <m:sSubPr>
              <m:ctrlPr>
                <w:rPr>
                  <w:rFonts w:ascii="Cambria Math" w:hAnsi="Cambria Math"/>
                </w:rPr>
              </m:ctrlPr>
            </m:sSubPr>
            <m:e>
              <m:r>
                <m:rPr>
                  <m:sty m:val="p"/>
                </m:rPr>
                <w:rPr>
                  <w:rFonts w:ascii="Cambria Math" w:hAnsi="Cambria Math"/>
                </w:rPr>
                <m:t>CAPEX</m:t>
              </m:r>
            </m:e>
            <m:sub>
              <m:r>
                <w:rPr>
                  <w:rFonts w:ascii="Cambria Math" w:hAnsi="Cambria Math"/>
                </w:rPr>
                <m:t>t</m:t>
              </m:r>
            </m:sub>
          </m:sSub>
          <m:r>
            <w:rPr>
              <w:rFonts w:ascii="Cambria Math" w:hAnsi="Cambria Math"/>
            </w:rPr>
            <m:t>=</m:t>
          </m:r>
          <m:nary>
            <m:naryPr>
              <m:chr m:val="∑"/>
              <m:limLoc m:val="undOvr"/>
              <m:supHide m:val="1"/>
              <m:ctrlPr>
                <w:rPr>
                  <w:rFonts w:ascii="Cambria Math" w:hAnsi="Cambria Math"/>
                </w:rPr>
              </m:ctrlPr>
            </m:naryPr>
            <m:sub>
              <m:r>
                <w:rPr>
                  <w:rFonts w:ascii="Cambria Math" w:hAnsi="Cambria Math"/>
                </w:rPr>
                <m:t>k∈Inv</m:t>
              </m:r>
            </m:sub>
            <m:sup/>
            <m:e>
              <m:sSub>
                <m:sSubPr>
                  <m:ctrlPr>
                    <w:rPr>
                      <w:rFonts w:ascii="Cambria Math" w:hAnsi="Cambria Math"/>
                    </w:rPr>
                  </m:ctrlPr>
                </m:sSubPr>
                <m:e>
                  <m:r>
                    <w:rPr>
                      <w:rFonts w:ascii="Cambria Math" w:hAnsi="Cambria Math"/>
                    </w:rPr>
                    <m:t>C</m:t>
                  </m:r>
                </m:e>
                <m:sub>
                  <m:r>
                    <w:rPr>
                      <w:rFonts w:ascii="Cambria Math" w:hAnsi="Cambria Math"/>
                    </w:rPr>
                    <m:t>k,t</m:t>
                  </m:r>
                </m:sub>
              </m:sSub>
            </m:e>
          </m:nary>
          <m:r>
            <w:rPr>
              <w:rFonts w:ascii="Cambria Math" w:hAnsi="Cambria Math"/>
            </w:rPr>
            <m:t xml:space="preserve">   ;   </m:t>
          </m:r>
          <m:sSub>
            <m:sSubPr>
              <m:ctrlPr>
                <w:rPr>
                  <w:rFonts w:ascii="Cambria Math" w:hAnsi="Cambria Math"/>
                </w:rPr>
              </m:ctrlPr>
            </m:sSubPr>
            <m:e>
              <m:r>
                <m:rPr>
                  <m:sty m:val="p"/>
                </m:rPr>
                <w:rPr>
                  <w:rFonts w:ascii="Cambria Math" w:hAnsi="Cambria Math"/>
                </w:rPr>
                <m:t>OPEX</m:t>
              </m:r>
            </m:e>
            <m:sub>
              <m:r>
                <w:rPr>
                  <w:rFonts w:ascii="Cambria Math" w:hAnsi="Cambria Math"/>
                </w:rPr>
                <m:t>t</m:t>
              </m:r>
            </m:sub>
          </m:sSub>
          <m:r>
            <w:rPr>
              <w:rFonts w:ascii="Cambria Math" w:hAnsi="Cambria Math"/>
            </w:rPr>
            <m:t>=</m:t>
          </m:r>
          <m:nary>
            <m:naryPr>
              <m:chr m:val="∑"/>
              <m:limLoc m:val="undOvr"/>
              <m:supHide m:val="1"/>
              <m:ctrlPr>
                <w:rPr>
                  <w:rFonts w:ascii="Cambria Math" w:hAnsi="Cambria Math"/>
                </w:rPr>
              </m:ctrlPr>
            </m:naryPr>
            <m:sub>
              <m:r>
                <w:rPr>
                  <w:rFonts w:ascii="Cambria Math" w:hAnsi="Cambria Math"/>
                </w:rPr>
                <m:t>k∈Op</m:t>
              </m:r>
            </m:sub>
            <m:sup/>
            <m:e>
              <m:sSub>
                <m:sSubPr>
                  <m:ctrlPr>
                    <w:rPr>
                      <w:rFonts w:ascii="Cambria Math" w:hAnsi="Cambria Math"/>
                    </w:rPr>
                  </m:ctrlPr>
                </m:sSubPr>
                <m:e>
                  <m:r>
                    <w:rPr>
                      <w:rFonts w:ascii="Cambria Math" w:hAnsi="Cambria Math"/>
                    </w:rPr>
                    <m:t>C</m:t>
                  </m:r>
                </m:e>
                <m:sub>
                  <m:r>
                    <w:rPr>
                      <w:rFonts w:ascii="Cambria Math" w:hAnsi="Cambria Math"/>
                    </w:rPr>
                    <m:t>k,t</m:t>
                  </m:r>
                </m:sub>
              </m:sSub>
            </m:e>
          </m:nary>
        </m:oMath>
      </m:oMathPara>
    </w:p>
    <w:p w14:paraId="1B4F77F1" w14:textId="77777777" w:rsidR="00C84A8D" w:rsidRPr="00CF35CB" w:rsidRDefault="00100C35">
      <w:pPr>
        <w:jc w:val="both"/>
        <w:rPr>
          <w:lang w:val="es-CL"/>
        </w:rPr>
      </w:pPr>
      <w:r w:rsidRPr="00CF35CB">
        <w:rPr>
          <w:lang w:val="es-CL"/>
        </w:rPr>
        <w:t>Tanto los costos como la demanda se expresan en valor presente sobre el horizonte tarifario, con lo cual la tarifa resultante iguala en valor presente los ingresos y los costos del programa:</w:t>
      </w:r>
    </w:p>
    <w:p w14:paraId="52B912D8" w14:textId="22C5EB7A" w:rsidR="00C84A8D" w:rsidRDefault="00100C35">
      <w:pPr>
        <w:jc w:val="center"/>
      </w:pPr>
      <m:oMathPara>
        <m:oMath>
          <m:r>
            <w:rPr>
              <w:rFonts w:ascii="Cambria Math" w:hAnsi="Cambria Math"/>
            </w:rPr>
            <m:t>VNA</m:t>
          </m:r>
          <m:d>
            <m:dPr>
              <m:ctrlPr>
                <w:rPr>
                  <w:rFonts w:ascii="Cambria Math" w:hAnsi="Cambria Math"/>
                </w:rPr>
              </m:ctrlPr>
            </m:dPr>
            <m:e>
              <m:r>
                <w:rPr>
                  <w:rFonts w:ascii="Cambria Math" w:hAnsi="Cambria Math"/>
                </w:rPr>
                <m:t>X</m:t>
              </m:r>
            </m:e>
          </m:d>
          <m:r>
            <w:rPr>
              <w:rFonts w:ascii="Cambria Math" w:hAnsi="Cambria Math"/>
            </w:rPr>
            <m:t>=</m:t>
          </m:r>
          <m:nary>
            <m:naryPr>
              <m:chr m:val="∑"/>
              <m:limLoc m:val="undOvr"/>
              <m:ctrlPr>
                <w:rPr>
                  <w:rFonts w:ascii="Cambria Math" w:hAnsi="Cambria Math"/>
                </w:rPr>
              </m:ctrlPr>
            </m:naryPr>
            <m:sub>
              <m:r>
                <w:rPr>
                  <w:rFonts w:ascii="Cambria Math" w:hAnsi="Cambria Math"/>
                </w:rPr>
                <m:t>t=1</m:t>
              </m:r>
            </m:sub>
            <m:sup>
              <m:r>
                <w:rPr>
                  <w:rFonts w:ascii="Cambria Math" w:hAnsi="Cambria Math"/>
                </w:rPr>
                <m:t>5</m:t>
              </m:r>
            </m:sup>
            <m:e>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t</m:t>
                      </m:r>
                    </m:sub>
                  </m:sSub>
                </m:num>
                <m:den>
                  <m:sSup>
                    <m:sSupPr>
                      <m:ctrlPr>
                        <w:rPr>
                          <w:rFonts w:ascii="Cambria Math" w:hAnsi="Cambria Math"/>
                        </w:rPr>
                      </m:ctrlPr>
                    </m:sSupPr>
                    <m:e>
                      <m:d>
                        <m:dPr>
                          <m:ctrlPr>
                            <w:rPr>
                              <w:rFonts w:ascii="Cambria Math" w:hAnsi="Cambria Math"/>
                            </w:rPr>
                          </m:ctrlPr>
                        </m:dPr>
                        <m:e>
                          <m:r>
                            <w:rPr>
                              <w:rFonts w:ascii="Cambria Math" w:hAnsi="Cambria Math"/>
                            </w:rPr>
                            <m:t>1+r</m:t>
                          </m:r>
                        </m:e>
                      </m:d>
                    </m:e>
                    <m:sup>
                      <m:r>
                        <w:rPr>
                          <w:rFonts w:ascii="Cambria Math" w:hAnsi="Cambria Math"/>
                        </w:rPr>
                        <m:t>t</m:t>
                      </m:r>
                    </m:sup>
                  </m:sSup>
                </m:den>
              </m:f>
            </m:e>
          </m:nary>
        </m:oMath>
      </m:oMathPara>
    </w:p>
    <w:p w14:paraId="2114CE73" w14:textId="14A27CB5" w:rsidR="00C84A8D" w:rsidRPr="00CF35CB" w:rsidRDefault="00100C35">
      <w:pPr>
        <w:jc w:val="both"/>
        <w:rPr>
          <w:lang w:val="es-CL"/>
        </w:rPr>
      </w:pPr>
      <w:r w:rsidRPr="00CF35CB">
        <w:rPr>
          <w:lang w:val="es-CL"/>
        </w:rPr>
        <w:t xml:space="preserve">El desfase entre la prestación del servicio y su facturación exige financiar capital de trabajo, que el modelo reconoce mediante un factor de corrección </w:t>
      </w:r>
      <m:oMath>
        <m:r>
          <w:rPr>
            <w:rFonts w:ascii="Cambria Math" w:hAnsi="Cambria Math"/>
          </w:rPr>
          <m:t>KT</m:t>
        </m:r>
      </m:oMath>
      <w:r w:rsidRPr="00CF35CB">
        <w:rPr>
          <w:lang w:val="es-CL"/>
        </w:rPr>
        <w:t xml:space="preserve"> aplicado sobre el costo en valor presente:</w:t>
      </w:r>
    </w:p>
    <w:p w14:paraId="3640CD6C" w14:textId="1DE7746D" w:rsidR="00C84A8D" w:rsidRDefault="00100C35">
      <w:pPr>
        <w:jc w:val="center"/>
      </w:pPr>
      <m:oMathPara>
        <m:oMath>
          <m:r>
            <m:rPr>
              <m:sty m:val="p"/>
            </m:rPr>
            <w:rPr>
              <w:rFonts w:ascii="Cambria Math" w:hAnsi="Cambria Math"/>
            </w:rPr>
            <m:t>KT</m:t>
          </m:r>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r</m:t>
                      </m:r>
                    </m:num>
                    <m:den>
                      <m:r>
                        <w:rPr>
                          <w:rFonts w:ascii="Cambria Math" w:hAnsi="Cambria Math"/>
                        </w:rPr>
                        <m:t>1+r</m:t>
                      </m:r>
                    </m:den>
                  </m:f>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1-τ</m:t>
                      </m:r>
                    </m:den>
                  </m:f>
                  <m:r>
                    <w:rPr>
                      <w:rFonts w:ascii="Cambria Math" w:hAnsi="Cambria Math"/>
                    </w:rPr>
                    <m:t>·</m:t>
                  </m:r>
                  <m:f>
                    <m:fPr>
                      <m:ctrlPr>
                        <w:rPr>
                          <w:rFonts w:ascii="Cambria Math" w:hAnsi="Cambria Math"/>
                        </w:rPr>
                      </m:ctrlPr>
                    </m:fPr>
                    <m:num>
                      <m:r>
                        <w:rPr>
                          <w:rFonts w:ascii="Cambria Math" w:hAnsi="Cambria Math"/>
                        </w:rPr>
                        <m:t>VNA</m:t>
                      </m:r>
                      <m:d>
                        <m:dPr>
                          <m:ctrlPr>
                            <w:rPr>
                              <w:rFonts w:ascii="Cambria Math" w:hAnsi="Cambria Math"/>
                            </w:rPr>
                          </m:ctrlPr>
                        </m:dPr>
                        <m:e>
                          <m:r>
                            <w:rPr>
                              <w:rFonts w:ascii="Cambria Math" w:hAnsi="Cambria Math"/>
                            </w:rPr>
                            <m:t>Q</m:t>
                          </m:r>
                        </m:e>
                      </m:d>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1+r</m:t>
                              </m:r>
                            </m:e>
                          </m:d>
                        </m:e>
                        <m:sup>
                          <m:r>
                            <w:rPr>
                              <w:rFonts w:ascii="Cambria Math" w:hAnsi="Cambria Math"/>
                            </w:rPr>
                            <m:t>-5</m:t>
                          </m:r>
                        </m:sup>
                      </m:sSup>
                    </m:num>
                    <m:den>
                      <m:r>
                        <w:rPr>
                          <w:rFonts w:ascii="Cambria Math" w:hAnsi="Cambria Math"/>
                        </w:rPr>
                        <m:t>VNA</m:t>
                      </m:r>
                      <m:d>
                        <m:dPr>
                          <m:ctrlPr>
                            <w:rPr>
                              <w:rFonts w:ascii="Cambria Math" w:hAnsi="Cambria Math"/>
                            </w:rPr>
                          </m:ctrlPr>
                        </m:dPr>
                        <m:e>
                          <m:r>
                            <w:rPr>
                              <w:rFonts w:ascii="Cambria Math" w:hAnsi="Cambria Math"/>
                            </w:rPr>
                            <m:t>Q</m:t>
                          </m:r>
                        </m:e>
                      </m:d>
                    </m:den>
                  </m:f>
                </m:e>
              </m:d>
            </m:e>
            <m:sup>
              <m:r>
                <w:rPr>
                  <w:rFonts w:ascii="Cambria Math" w:hAnsi="Cambria Math"/>
                </w:rPr>
                <m:t>-1</m:t>
              </m:r>
            </m:sup>
          </m:sSup>
        </m:oMath>
      </m:oMathPara>
    </w:p>
    <w:p w14:paraId="6F157230" w14:textId="333831CE" w:rsidR="00C84A8D" w:rsidRPr="00CF35CB" w:rsidRDefault="00100C35">
      <w:pPr>
        <w:jc w:val="both"/>
        <w:rPr>
          <w:lang w:val="es-CL"/>
        </w:rPr>
      </w:pPr>
      <w:r w:rsidRPr="00CF35CB">
        <w:rPr>
          <w:lang w:val="es-CL"/>
        </w:rPr>
        <w:t>Por último, el costo unitario que recupera la totalidad del programa resulta de dividir el costo total de largo plazo</w:t>
      </w:r>
      <w:r w:rsidR="00AB0CC3">
        <w:rPr>
          <w:lang w:val="es-CL"/>
        </w:rPr>
        <w:t xml:space="preserve"> o costo medio</w:t>
      </w:r>
      <w:r w:rsidRPr="00CF35CB">
        <w:rPr>
          <w:lang w:val="es-CL"/>
        </w:rPr>
        <w:t xml:space="preserve"> asignado al servicio, corregido por capital de trabajo, entre la demanda de mensajes A2P en valor presente, y de incorporar la contribución regulatoria que grava los ingresos del servicio:</w:t>
      </w:r>
    </w:p>
    <w:p w14:paraId="24CA7FFE" w14:textId="77ACEDA0" w:rsidR="00C84A8D" w:rsidRDefault="006E02DB">
      <w:pPr>
        <w:jc w:val="center"/>
      </w:pPr>
      <m:oMathPara>
        <m:oMath>
          <m:sSub>
            <m:sSubPr>
              <m:ctrlPr>
                <w:rPr>
                  <w:rFonts w:ascii="Cambria Math" w:hAnsi="Cambria Math"/>
                </w:rPr>
              </m:ctrlPr>
            </m:sSubPr>
            <m:e>
              <m:r>
                <w:rPr>
                  <w:rFonts w:ascii="Cambria Math" w:hAnsi="Cambria Math"/>
                </w:rPr>
                <m:t>T</m:t>
              </m:r>
            </m:e>
            <m:sub>
              <m:r>
                <w:rPr>
                  <w:rFonts w:ascii="Cambria Math" w:hAnsi="Cambria Math"/>
                </w:rPr>
                <m:t>A2P</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CTLP</m:t>
                  </m:r>
                </m:e>
                <m:sub>
                  <m:r>
                    <w:rPr>
                      <w:rFonts w:ascii="Cambria Math" w:hAnsi="Cambria Math"/>
                    </w:rPr>
                    <m:t>A2P</m:t>
                  </m:r>
                </m:sub>
              </m:sSub>
              <m:r>
                <w:rPr>
                  <w:rFonts w:ascii="Cambria Math" w:hAnsi="Cambria Math"/>
                </w:rPr>
                <m:t>·</m:t>
              </m:r>
              <m:r>
                <m:rPr>
                  <m:sty m:val="p"/>
                </m:rPr>
                <w:rPr>
                  <w:rFonts w:ascii="Cambria Math" w:hAnsi="Cambria Math"/>
                </w:rPr>
                <m:t>KT</m:t>
              </m:r>
            </m:num>
            <m:den>
              <m:r>
                <w:rPr>
                  <w:rFonts w:ascii="Cambria Math" w:hAnsi="Cambria Math"/>
                </w:rPr>
                <m:t>VNA</m:t>
              </m:r>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A2P</m:t>
                      </m:r>
                    </m:sub>
                  </m:sSub>
                </m:e>
              </m:d>
              <m:r>
                <w:rPr>
                  <w:rFonts w:ascii="Cambria Math" w:hAnsi="Cambria Math"/>
                </w:rPr>
                <m:t>·</m:t>
              </m:r>
              <m:d>
                <m:dPr>
                  <m:ctrlPr>
                    <w:rPr>
                      <w:rFonts w:ascii="Cambria Math" w:hAnsi="Cambria Math"/>
                    </w:rPr>
                  </m:ctrlPr>
                </m:dPr>
                <m:e>
                  <m:r>
                    <w:rPr>
                      <w:rFonts w:ascii="Cambria Math" w:hAnsi="Cambria Math"/>
                    </w:rPr>
                    <m:t>1-c</m:t>
                  </m:r>
                </m:e>
              </m:d>
            </m:den>
          </m:f>
        </m:oMath>
      </m:oMathPara>
    </w:p>
    <w:p w14:paraId="079D0420" w14:textId="580398CE" w:rsidR="00C84A8D" w:rsidRPr="00CF35CB" w:rsidRDefault="00100C35">
      <w:pPr>
        <w:jc w:val="both"/>
        <w:rPr>
          <w:lang w:val="es-CL"/>
        </w:rPr>
      </w:pPr>
      <w:r w:rsidRPr="00CF35CB">
        <w:rPr>
          <w:lang w:val="es-CL"/>
        </w:rPr>
        <w:lastRenderedPageBreak/>
        <w:t xml:space="preserve">La expresión </w:t>
      </w:r>
      <w:r w:rsidR="00AB0CC3">
        <w:rPr>
          <w:lang w:val="es-CL"/>
        </w:rPr>
        <w:t>anterior</w:t>
      </w:r>
      <w:r w:rsidRPr="00CF35CB">
        <w:rPr>
          <w:lang w:val="es-CL"/>
        </w:rPr>
        <w:t xml:space="preserve"> garantiza que, en valor presente y al costo de capital del sector, los ingresos generados por el cobro unitario sobre cada mensaje A2P igualan exactamente el costo total del programa de mitigación, incluidos los componentes de voz. No existe, por construcción, ni </w:t>
      </w:r>
      <w:proofErr w:type="spellStart"/>
      <w:r w:rsidRPr="00CF35CB">
        <w:rPr>
          <w:lang w:val="es-CL"/>
        </w:rPr>
        <w:t>sobrerrecuperación</w:t>
      </w:r>
      <w:proofErr w:type="spellEnd"/>
      <w:r w:rsidRPr="00CF35CB">
        <w:rPr>
          <w:lang w:val="es-CL"/>
        </w:rPr>
        <w:t xml:space="preserve"> ni déficit.</w:t>
      </w:r>
    </w:p>
    <w:p w14:paraId="2DB3F2BA" w14:textId="77777777" w:rsidR="00C84A8D" w:rsidRPr="00CF35CB" w:rsidRDefault="00100C35">
      <w:pPr>
        <w:jc w:val="both"/>
        <w:rPr>
          <w:lang w:val="es-CL"/>
        </w:rPr>
      </w:pPr>
      <w:r w:rsidRPr="00CF35CB">
        <w:rPr>
          <w:lang w:val="es-CL"/>
        </w:rPr>
        <w:t>Los parámetros financieros aplicados son los siguientes:</w:t>
      </w:r>
    </w:p>
    <w:tbl>
      <w:tblPr>
        <w:tblStyle w:val="Cuadrculaclara-nfasis1"/>
        <w:tblW w:w="0" w:type="auto"/>
        <w:tblLook w:val="04A0" w:firstRow="1" w:lastRow="0" w:firstColumn="1" w:lastColumn="0" w:noHBand="0" w:noVBand="1"/>
      </w:tblPr>
      <w:tblGrid>
        <w:gridCol w:w="2998"/>
        <w:gridCol w:w="2375"/>
        <w:gridCol w:w="4239"/>
      </w:tblGrid>
      <w:tr w:rsidR="00C84A8D" w:rsidRPr="00AB0CC3" w14:paraId="16290815" w14:textId="77777777" w:rsidTr="00C84A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shd w:val="clear" w:color="auto" w:fill="1F4E79"/>
            <w:vAlign w:val="center"/>
          </w:tcPr>
          <w:p w14:paraId="6B739EC3" w14:textId="77777777" w:rsidR="00C84A8D" w:rsidRPr="00AB0CC3" w:rsidRDefault="00100C35">
            <w:pPr>
              <w:rPr>
                <w:lang w:val="es-CL"/>
              </w:rPr>
            </w:pPr>
            <w:r w:rsidRPr="00AB0CC3">
              <w:rPr>
                <w:color w:val="FFFFFF"/>
                <w:sz w:val="19"/>
                <w:lang w:val="es-CL"/>
              </w:rPr>
              <w:t>Parámetro</w:t>
            </w:r>
          </w:p>
        </w:tc>
        <w:tc>
          <w:tcPr>
            <w:tcW w:w="2381" w:type="dxa"/>
            <w:shd w:val="clear" w:color="auto" w:fill="1F4E79"/>
            <w:vAlign w:val="center"/>
          </w:tcPr>
          <w:p w14:paraId="4D9E8CD6" w14:textId="77777777" w:rsidR="00C84A8D" w:rsidRPr="00AB0CC3" w:rsidRDefault="00100C35">
            <w:pPr>
              <w:cnfStyle w:val="100000000000" w:firstRow="1" w:lastRow="0" w:firstColumn="0" w:lastColumn="0" w:oddVBand="0" w:evenVBand="0" w:oddHBand="0" w:evenHBand="0" w:firstRowFirstColumn="0" w:firstRowLastColumn="0" w:lastRowFirstColumn="0" w:lastRowLastColumn="0"/>
              <w:rPr>
                <w:lang w:val="es-CL"/>
              </w:rPr>
            </w:pPr>
            <w:r w:rsidRPr="00AB0CC3">
              <w:rPr>
                <w:color w:val="FFFFFF"/>
                <w:sz w:val="19"/>
                <w:lang w:val="es-CL"/>
              </w:rPr>
              <w:t>Valor</w:t>
            </w:r>
          </w:p>
        </w:tc>
        <w:tc>
          <w:tcPr>
            <w:tcW w:w="4252" w:type="dxa"/>
            <w:shd w:val="clear" w:color="auto" w:fill="1F4E79"/>
            <w:vAlign w:val="center"/>
          </w:tcPr>
          <w:p w14:paraId="568DBA18" w14:textId="77777777" w:rsidR="00C84A8D" w:rsidRPr="00AB0CC3" w:rsidRDefault="00100C35">
            <w:pPr>
              <w:cnfStyle w:val="100000000000" w:firstRow="1" w:lastRow="0" w:firstColumn="0" w:lastColumn="0" w:oddVBand="0" w:evenVBand="0" w:oddHBand="0" w:evenHBand="0" w:firstRowFirstColumn="0" w:firstRowLastColumn="0" w:lastRowFirstColumn="0" w:lastRowLastColumn="0"/>
              <w:rPr>
                <w:lang w:val="es-CL"/>
              </w:rPr>
            </w:pPr>
            <w:r w:rsidRPr="00AB0CC3">
              <w:rPr>
                <w:color w:val="FFFFFF"/>
                <w:sz w:val="19"/>
                <w:lang w:val="es-CL"/>
              </w:rPr>
              <w:t>Observación</w:t>
            </w:r>
          </w:p>
        </w:tc>
      </w:tr>
      <w:tr w:rsidR="00C84A8D" w:rsidRPr="00D05266" w14:paraId="318E1ADD" w14:textId="77777777" w:rsidTr="00C84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3F27CD8B" w14:textId="77777777" w:rsidR="00C84A8D" w:rsidRPr="00AB0CC3" w:rsidRDefault="00100C35">
            <w:pPr>
              <w:rPr>
                <w:lang w:val="es-CL"/>
              </w:rPr>
            </w:pPr>
            <w:r w:rsidRPr="00AB0CC3">
              <w:rPr>
                <w:sz w:val="19"/>
                <w:lang w:val="es-CL"/>
              </w:rPr>
              <w:t>Tasa de costo de capital (r)</w:t>
            </w:r>
          </w:p>
        </w:tc>
        <w:tc>
          <w:tcPr>
            <w:tcW w:w="2381" w:type="dxa"/>
            <w:vAlign w:val="center"/>
          </w:tcPr>
          <w:p w14:paraId="75052502"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11,57% anual</w:t>
            </w:r>
          </w:p>
        </w:tc>
        <w:tc>
          <w:tcPr>
            <w:tcW w:w="4252" w:type="dxa"/>
            <w:vAlign w:val="center"/>
          </w:tcPr>
          <w:p w14:paraId="6169C3EC"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Tasa del sector aplicada en el modelo de empresa eficiente.</w:t>
            </w:r>
          </w:p>
        </w:tc>
      </w:tr>
      <w:tr w:rsidR="00C84A8D" w:rsidRPr="00D05266" w14:paraId="6015523A" w14:textId="77777777" w:rsidTr="00C84A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33A959DE" w14:textId="77777777" w:rsidR="00C84A8D" w:rsidRPr="00AB0CC3" w:rsidRDefault="00100C35">
            <w:pPr>
              <w:rPr>
                <w:lang w:val="es-CL"/>
              </w:rPr>
            </w:pPr>
            <w:r w:rsidRPr="00AB0CC3">
              <w:rPr>
                <w:sz w:val="19"/>
                <w:lang w:val="es-CL"/>
              </w:rPr>
              <w:t>Tasa de tributación (tau)</w:t>
            </w:r>
          </w:p>
        </w:tc>
        <w:tc>
          <w:tcPr>
            <w:tcW w:w="2381" w:type="dxa"/>
            <w:vAlign w:val="center"/>
          </w:tcPr>
          <w:p w14:paraId="02E95B5D"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35%</w:t>
            </w:r>
          </w:p>
        </w:tc>
        <w:tc>
          <w:tcPr>
            <w:tcW w:w="4252" w:type="dxa"/>
            <w:vAlign w:val="center"/>
          </w:tcPr>
          <w:p w14:paraId="4D62BDB9"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Tarifa general de renta aplicable en el horizonte.</w:t>
            </w:r>
          </w:p>
        </w:tc>
      </w:tr>
      <w:tr w:rsidR="00C84A8D" w:rsidRPr="00D05266" w14:paraId="62D05BF7" w14:textId="77777777" w:rsidTr="00C84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2D005AC1" w14:textId="77777777" w:rsidR="00C84A8D" w:rsidRPr="00AB0CC3" w:rsidRDefault="00100C35">
            <w:pPr>
              <w:rPr>
                <w:lang w:val="es-CL"/>
              </w:rPr>
            </w:pPr>
            <w:r w:rsidRPr="00AB0CC3">
              <w:rPr>
                <w:sz w:val="19"/>
                <w:lang w:val="es-CL"/>
              </w:rPr>
              <w:t>Tipo de cambio (TC)</w:t>
            </w:r>
          </w:p>
        </w:tc>
        <w:tc>
          <w:tcPr>
            <w:tcW w:w="2381" w:type="dxa"/>
            <w:vAlign w:val="center"/>
          </w:tcPr>
          <w:p w14:paraId="01A6763C"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4.071,75 COP/USD</w:t>
            </w:r>
          </w:p>
        </w:tc>
        <w:tc>
          <w:tcPr>
            <w:tcW w:w="4252" w:type="dxa"/>
            <w:vAlign w:val="center"/>
          </w:tcPr>
          <w:p w14:paraId="6A128049"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Conversión de los costos unitarios expresados en dólares.</w:t>
            </w:r>
          </w:p>
        </w:tc>
      </w:tr>
      <w:tr w:rsidR="00C84A8D" w:rsidRPr="00D05266" w14:paraId="42108A6A" w14:textId="77777777" w:rsidTr="00C84A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6E650A2A" w14:textId="77777777" w:rsidR="00C84A8D" w:rsidRPr="00AB0CC3" w:rsidRDefault="00100C35">
            <w:pPr>
              <w:rPr>
                <w:lang w:val="es-CL"/>
              </w:rPr>
            </w:pPr>
            <w:r w:rsidRPr="00AB0CC3">
              <w:rPr>
                <w:sz w:val="19"/>
                <w:lang w:val="es-CL"/>
              </w:rPr>
              <w:t>Contribución regulatoria (c)</w:t>
            </w:r>
          </w:p>
        </w:tc>
        <w:tc>
          <w:tcPr>
            <w:tcW w:w="2381" w:type="dxa"/>
            <w:vAlign w:val="center"/>
          </w:tcPr>
          <w:p w14:paraId="3543DBA1"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0,137% de los ingresos</w:t>
            </w:r>
          </w:p>
        </w:tc>
        <w:tc>
          <w:tcPr>
            <w:tcW w:w="4252" w:type="dxa"/>
            <w:vAlign w:val="center"/>
          </w:tcPr>
          <w:p w14:paraId="074D7866"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Contribución a la CRC que grava los ingresos del servicio.</w:t>
            </w:r>
          </w:p>
        </w:tc>
      </w:tr>
      <w:tr w:rsidR="00C84A8D" w:rsidRPr="00D05266" w14:paraId="51CEB6EA" w14:textId="77777777" w:rsidTr="00C84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0F9AE88A" w14:textId="77777777" w:rsidR="00C84A8D" w:rsidRPr="00AB0CC3" w:rsidRDefault="00100C35">
            <w:pPr>
              <w:rPr>
                <w:lang w:val="es-CL"/>
              </w:rPr>
            </w:pPr>
            <w:r w:rsidRPr="00AB0CC3">
              <w:rPr>
                <w:sz w:val="19"/>
                <w:lang w:val="es-CL"/>
              </w:rPr>
              <w:t>Ciclo de facturación (d)</w:t>
            </w:r>
          </w:p>
        </w:tc>
        <w:tc>
          <w:tcPr>
            <w:tcW w:w="2381" w:type="dxa"/>
            <w:vAlign w:val="center"/>
          </w:tcPr>
          <w:p w14:paraId="44D7BC6A"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60/365</w:t>
            </w:r>
          </w:p>
        </w:tc>
        <w:tc>
          <w:tcPr>
            <w:tcW w:w="4252" w:type="dxa"/>
            <w:vAlign w:val="center"/>
          </w:tcPr>
          <w:p w14:paraId="236416E3"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Proporción del año que sustenta el capital de trabajo.</w:t>
            </w:r>
          </w:p>
        </w:tc>
      </w:tr>
      <w:tr w:rsidR="00C84A8D" w:rsidRPr="00D05266" w14:paraId="3A15D641" w14:textId="77777777" w:rsidTr="00C84A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024C0E8C" w14:textId="77777777" w:rsidR="00C84A8D" w:rsidRPr="00AB0CC3" w:rsidRDefault="00100C35">
            <w:pPr>
              <w:rPr>
                <w:lang w:val="es-CL"/>
              </w:rPr>
            </w:pPr>
            <w:r w:rsidRPr="00AB0CC3">
              <w:rPr>
                <w:sz w:val="19"/>
                <w:lang w:val="es-CL"/>
              </w:rPr>
              <w:t>Vida útil de la inversión (u)</w:t>
            </w:r>
          </w:p>
        </w:tc>
        <w:tc>
          <w:tcPr>
            <w:tcW w:w="2381" w:type="dxa"/>
            <w:vAlign w:val="center"/>
          </w:tcPr>
          <w:p w14:paraId="3AD6B4AD"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6 años</w:t>
            </w:r>
          </w:p>
        </w:tc>
        <w:tc>
          <w:tcPr>
            <w:tcW w:w="4252" w:type="dxa"/>
            <w:vAlign w:val="center"/>
          </w:tcPr>
          <w:p w14:paraId="59DE23F2"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Vida útil de las plataformas y sistemas del programa.</w:t>
            </w:r>
          </w:p>
        </w:tc>
      </w:tr>
      <w:tr w:rsidR="00C84A8D" w:rsidRPr="00D05266" w14:paraId="69F45A83" w14:textId="77777777" w:rsidTr="00C84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72C93F32" w14:textId="77777777" w:rsidR="00C84A8D" w:rsidRPr="00AB0CC3" w:rsidRDefault="00100C35">
            <w:pPr>
              <w:rPr>
                <w:lang w:val="es-CL"/>
              </w:rPr>
            </w:pPr>
            <w:r w:rsidRPr="00AB0CC3">
              <w:rPr>
                <w:sz w:val="19"/>
                <w:lang w:val="es-CL"/>
              </w:rPr>
              <w:t>Horizonte de estudio</w:t>
            </w:r>
          </w:p>
        </w:tc>
        <w:tc>
          <w:tcPr>
            <w:tcW w:w="2381" w:type="dxa"/>
            <w:vAlign w:val="center"/>
          </w:tcPr>
          <w:p w14:paraId="2D8A5B39"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2025 a 2030</w:t>
            </w:r>
          </w:p>
        </w:tc>
        <w:tc>
          <w:tcPr>
            <w:tcW w:w="4252" w:type="dxa"/>
            <w:vAlign w:val="center"/>
          </w:tcPr>
          <w:p w14:paraId="2FDA6F80"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Año base 2025 y cinco años de proyección tarifaria.</w:t>
            </w:r>
          </w:p>
        </w:tc>
      </w:tr>
    </w:tbl>
    <w:p w14:paraId="5E414BB3" w14:textId="77777777" w:rsidR="00C84A8D" w:rsidRPr="00CF35CB" w:rsidRDefault="00100C35">
      <w:pPr>
        <w:pStyle w:val="Ttulo1"/>
        <w:rPr>
          <w:lang w:val="es-CL"/>
        </w:rPr>
      </w:pPr>
      <w:r w:rsidRPr="00CF35CB">
        <w:rPr>
          <w:color w:val="1F4E79"/>
          <w:lang w:val="es-CL"/>
        </w:rPr>
        <w:t>6. Resultados</w:t>
      </w:r>
    </w:p>
    <w:p w14:paraId="0A01F264" w14:textId="77777777" w:rsidR="00C84A8D" w:rsidRPr="00CF35CB" w:rsidRDefault="00100C35">
      <w:pPr>
        <w:jc w:val="both"/>
        <w:rPr>
          <w:lang w:val="es-CL"/>
        </w:rPr>
      </w:pPr>
      <w:r w:rsidRPr="00CF35CB">
        <w:rPr>
          <w:lang w:val="es-CL"/>
        </w:rPr>
        <w:t>El cuadro siguiente presenta los flujos anuales del programa de mitigación en el esquema centralizado, junto con la demanda de mensajería empresarial proyectada de la empresa eficiente. Las cifras monetarias se expresan en millones de pesos y la demanda en millones de mensajes por año.</w:t>
      </w:r>
    </w:p>
    <w:tbl>
      <w:tblPr>
        <w:tblStyle w:val="Cuadrculaclara-nfasis1"/>
        <w:tblW w:w="0" w:type="auto"/>
        <w:tblLook w:val="04A0" w:firstRow="1" w:lastRow="0" w:firstColumn="1" w:lastColumn="0" w:noHBand="0" w:noVBand="1"/>
      </w:tblPr>
      <w:tblGrid>
        <w:gridCol w:w="3354"/>
        <w:gridCol w:w="1043"/>
        <w:gridCol w:w="1043"/>
        <w:gridCol w:w="1043"/>
        <w:gridCol w:w="1043"/>
        <w:gridCol w:w="1043"/>
        <w:gridCol w:w="1043"/>
      </w:tblGrid>
      <w:tr w:rsidR="00C84A8D" w14:paraId="089C23F0" w14:textId="77777777" w:rsidTr="00C84A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shd w:val="clear" w:color="auto" w:fill="1F4E79"/>
            <w:vAlign w:val="center"/>
          </w:tcPr>
          <w:p w14:paraId="07BC8A13" w14:textId="77777777" w:rsidR="00C84A8D" w:rsidRDefault="00100C35">
            <w:proofErr w:type="spellStart"/>
            <w:r>
              <w:rPr>
                <w:color w:val="FFFFFF"/>
                <w:sz w:val="18"/>
              </w:rPr>
              <w:t>Concepto</w:t>
            </w:r>
            <w:proofErr w:type="spellEnd"/>
          </w:p>
        </w:tc>
        <w:tc>
          <w:tcPr>
            <w:tcW w:w="1049" w:type="dxa"/>
            <w:shd w:val="clear" w:color="auto" w:fill="1F4E79"/>
            <w:vAlign w:val="center"/>
          </w:tcPr>
          <w:p w14:paraId="6709A0AA" w14:textId="77777777" w:rsidR="00C84A8D" w:rsidRDefault="00100C35">
            <w:pPr>
              <w:cnfStyle w:val="100000000000" w:firstRow="1" w:lastRow="0" w:firstColumn="0" w:lastColumn="0" w:oddVBand="0" w:evenVBand="0" w:oddHBand="0" w:evenHBand="0" w:firstRowFirstColumn="0" w:firstRowLastColumn="0" w:lastRowFirstColumn="0" w:lastRowLastColumn="0"/>
            </w:pPr>
            <w:r>
              <w:rPr>
                <w:color w:val="FFFFFF"/>
                <w:sz w:val="18"/>
              </w:rPr>
              <w:t>2025</w:t>
            </w:r>
          </w:p>
        </w:tc>
        <w:tc>
          <w:tcPr>
            <w:tcW w:w="1049" w:type="dxa"/>
            <w:shd w:val="clear" w:color="auto" w:fill="1F4E79"/>
            <w:vAlign w:val="center"/>
          </w:tcPr>
          <w:p w14:paraId="77658893" w14:textId="77777777" w:rsidR="00C84A8D" w:rsidRDefault="00100C35">
            <w:pPr>
              <w:cnfStyle w:val="100000000000" w:firstRow="1" w:lastRow="0" w:firstColumn="0" w:lastColumn="0" w:oddVBand="0" w:evenVBand="0" w:oddHBand="0" w:evenHBand="0" w:firstRowFirstColumn="0" w:firstRowLastColumn="0" w:lastRowFirstColumn="0" w:lastRowLastColumn="0"/>
            </w:pPr>
            <w:r>
              <w:rPr>
                <w:color w:val="FFFFFF"/>
                <w:sz w:val="18"/>
              </w:rPr>
              <w:t>2026</w:t>
            </w:r>
          </w:p>
        </w:tc>
        <w:tc>
          <w:tcPr>
            <w:tcW w:w="1049" w:type="dxa"/>
            <w:shd w:val="clear" w:color="auto" w:fill="1F4E79"/>
            <w:vAlign w:val="center"/>
          </w:tcPr>
          <w:p w14:paraId="0D35620C" w14:textId="77777777" w:rsidR="00C84A8D" w:rsidRDefault="00100C35">
            <w:pPr>
              <w:cnfStyle w:val="100000000000" w:firstRow="1" w:lastRow="0" w:firstColumn="0" w:lastColumn="0" w:oddVBand="0" w:evenVBand="0" w:oddHBand="0" w:evenHBand="0" w:firstRowFirstColumn="0" w:firstRowLastColumn="0" w:lastRowFirstColumn="0" w:lastRowLastColumn="0"/>
            </w:pPr>
            <w:r>
              <w:rPr>
                <w:color w:val="FFFFFF"/>
                <w:sz w:val="18"/>
              </w:rPr>
              <w:t>2027</w:t>
            </w:r>
          </w:p>
        </w:tc>
        <w:tc>
          <w:tcPr>
            <w:tcW w:w="1049" w:type="dxa"/>
            <w:shd w:val="clear" w:color="auto" w:fill="1F4E79"/>
            <w:vAlign w:val="center"/>
          </w:tcPr>
          <w:p w14:paraId="53FF168A" w14:textId="77777777" w:rsidR="00C84A8D" w:rsidRDefault="00100C35">
            <w:pPr>
              <w:cnfStyle w:val="100000000000" w:firstRow="1" w:lastRow="0" w:firstColumn="0" w:lastColumn="0" w:oddVBand="0" w:evenVBand="0" w:oddHBand="0" w:evenHBand="0" w:firstRowFirstColumn="0" w:firstRowLastColumn="0" w:lastRowFirstColumn="0" w:lastRowLastColumn="0"/>
            </w:pPr>
            <w:r>
              <w:rPr>
                <w:color w:val="FFFFFF"/>
                <w:sz w:val="18"/>
              </w:rPr>
              <w:t>2028</w:t>
            </w:r>
          </w:p>
        </w:tc>
        <w:tc>
          <w:tcPr>
            <w:tcW w:w="1049" w:type="dxa"/>
            <w:shd w:val="clear" w:color="auto" w:fill="1F4E79"/>
            <w:vAlign w:val="center"/>
          </w:tcPr>
          <w:p w14:paraId="7C107E1A" w14:textId="77777777" w:rsidR="00C84A8D" w:rsidRDefault="00100C35">
            <w:pPr>
              <w:cnfStyle w:val="100000000000" w:firstRow="1" w:lastRow="0" w:firstColumn="0" w:lastColumn="0" w:oddVBand="0" w:evenVBand="0" w:oddHBand="0" w:evenHBand="0" w:firstRowFirstColumn="0" w:firstRowLastColumn="0" w:lastRowFirstColumn="0" w:lastRowLastColumn="0"/>
            </w:pPr>
            <w:r>
              <w:rPr>
                <w:color w:val="FFFFFF"/>
                <w:sz w:val="18"/>
              </w:rPr>
              <w:t>2029</w:t>
            </w:r>
          </w:p>
        </w:tc>
        <w:tc>
          <w:tcPr>
            <w:tcW w:w="1049" w:type="dxa"/>
            <w:shd w:val="clear" w:color="auto" w:fill="1F4E79"/>
            <w:vAlign w:val="center"/>
          </w:tcPr>
          <w:p w14:paraId="1FC2A0B6" w14:textId="77777777" w:rsidR="00C84A8D" w:rsidRDefault="00100C35">
            <w:pPr>
              <w:cnfStyle w:val="100000000000" w:firstRow="1" w:lastRow="0" w:firstColumn="0" w:lastColumn="0" w:oddVBand="0" w:evenVBand="0" w:oddHBand="0" w:evenHBand="0" w:firstRowFirstColumn="0" w:firstRowLastColumn="0" w:lastRowFirstColumn="0" w:lastRowLastColumn="0"/>
            </w:pPr>
            <w:r>
              <w:rPr>
                <w:color w:val="FFFFFF"/>
                <w:sz w:val="18"/>
              </w:rPr>
              <w:t>2030</w:t>
            </w:r>
          </w:p>
        </w:tc>
      </w:tr>
      <w:tr w:rsidR="00C84A8D" w14:paraId="01074D53" w14:textId="77777777" w:rsidTr="00C84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14:paraId="691B5C0B" w14:textId="77777777" w:rsidR="00C84A8D" w:rsidRDefault="00100C35">
            <w:r>
              <w:rPr>
                <w:sz w:val="18"/>
              </w:rPr>
              <w:t>Inversión (CAPEX)</w:t>
            </w:r>
          </w:p>
        </w:tc>
        <w:tc>
          <w:tcPr>
            <w:tcW w:w="1049" w:type="dxa"/>
            <w:vAlign w:val="center"/>
          </w:tcPr>
          <w:p w14:paraId="59A6F221"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40.092</w:t>
            </w:r>
          </w:p>
        </w:tc>
        <w:tc>
          <w:tcPr>
            <w:tcW w:w="1049" w:type="dxa"/>
            <w:vAlign w:val="center"/>
          </w:tcPr>
          <w:p w14:paraId="74A3B78C"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40.337</w:t>
            </w:r>
          </w:p>
        </w:tc>
        <w:tc>
          <w:tcPr>
            <w:tcW w:w="1049" w:type="dxa"/>
            <w:vAlign w:val="center"/>
          </w:tcPr>
          <w:p w14:paraId="47C574B6"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41.003</w:t>
            </w:r>
          </w:p>
        </w:tc>
        <w:tc>
          <w:tcPr>
            <w:tcW w:w="1049" w:type="dxa"/>
            <w:vAlign w:val="center"/>
          </w:tcPr>
          <w:p w14:paraId="7D1B57E2"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41.707</w:t>
            </w:r>
          </w:p>
        </w:tc>
        <w:tc>
          <w:tcPr>
            <w:tcW w:w="1049" w:type="dxa"/>
            <w:vAlign w:val="center"/>
          </w:tcPr>
          <w:p w14:paraId="1D077D47"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42.520</w:t>
            </w:r>
          </w:p>
        </w:tc>
        <w:tc>
          <w:tcPr>
            <w:tcW w:w="1049" w:type="dxa"/>
            <w:vAlign w:val="center"/>
          </w:tcPr>
          <w:p w14:paraId="435DD027"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43.366</w:t>
            </w:r>
          </w:p>
        </w:tc>
      </w:tr>
      <w:tr w:rsidR="00C84A8D" w14:paraId="3604AD62" w14:textId="77777777" w:rsidTr="00C84A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14:paraId="102E24E0" w14:textId="77777777" w:rsidR="00C84A8D" w:rsidRDefault="00100C35">
            <w:r>
              <w:rPr>
                <w:sz w:val="18"/>
              </w:rPr>
              <w:t>Operación (OPEX)</w:t>
            </w:r>
          </w:p>
        </w:tc>
        <w:tc>
          <w:tcPr>
            <w:tcW w:w="1049" w:type="dxa"/>
            <w:vAlign w:val="center"/>
          </w:tcPr>
          <w:p w14:paraId="55494FEF" w14:textId="77777777" w:rsidR="00C84A8D" w:rsidRDefault="00100C35">
            <w:pPr>
              <w:cnfStyle w:val="000000010000" w:firstRow="0" w:lastRow="0" w:firstColumn="0" w:lastColumn="0" w:oddVBand="0" w:evenVBand="0" w:oddHBand="0" w:evenHBand="1" w:firstRowFirstColumn="0" w:firstRowLastColumn="0" w:lastRowFirstColumn="0" w:lastRowLastColumn="0"/>
            </w:pPr>
            <w:r>
              <w:rPr>
                <w:sz w:val="18"/>
              </w:rPr>
              <w:t>31.985</w:t>
            </w:r>
          </w:p>
        </w:tc>
        <w:tc>
          <w:tcPr>
            <w:tcW w:w="1049" w:type="dxa"/>
            <w:vAlign w:val="center"/>
          </w:tcPr>
          <w:p w14:paraId="788C6FC1" w14:textId="77777777" w:rsidR="00C84A8D" w:rsidRDefault="00100C35">
            <w:pPr>
              <w:cnfStyle w:val="000000010000" w:firstRow="0" w:lastRow="0" w:firstColumn="0" w:lastColumn="0" w:oddVBand="0" w:evenVBand="0" w:oddHBand="0" w:evenHBand="1" w:firstRowFirstColumn="0" w:firstRowLastColumn="0" w:lastRowFirstColumn="0" w:lastRowLastColumn="0"/>
            </w:pPr>
            <w:r>
              <w:rPr>
                <w:sz w:val="18"/>
              </w:rPr>
              <w:t>32.380</w:t>
            </w:r>
          </w:p>
        </w:tc>
        <w:tc>
          <w:tcPr>
            <w:tcW w:w="1049" w:type="dxa"/>
            <w:vAlign w:val="center"/>
          </w:tcPr>
          <w:p w14:paraId="3EA8453C" w14:textId="77777777" w:rsidR="00C84A8D" w:rsidRDefault="00100C35">
            <w:pPr>
              <w:cnfStyle w:val="000000010000" w:firstRow="0" w:lastRow="0" w:firstColumn="0" w:lastColumn="0" w:oddVBand="0" w:evenVBand="0" w:oddHBand="0" w:evenHBand="1" w:firstRowFirstColumn="0" w:firstRowLastColumn="0" w:lastRowFirstColumn="0" w:lastRowLastColumn="0"/>
            </w:pPr>
            <w:r>
              <w:rPr>
                <w:sz w:val="18"/>
              </w:rPr>
              <w:t>33.102</w:t>
            </w:r>
          </w:p>
        </w:tc>
        <w:tc>
          <w:tcPr>
            <w:tcW w:w="1049" w:type="dxa"/>
            <w:vAlign w:val="center"/>
          </w:tcPr>
          <w:p w14:paraId="5874EE08" w14:textId="77777777" w:rsidR="00C84A8D" w:rsidRDefault="00100C35">
            <w:pPr>
              <w:cnfStyle w:val="000000010000" w:firstRow="0" w:lastRow="0" w:firstColumn="0" w:lastColumn="0" w:oddVBand="0" w:evenVBand="0" w:oddHBand="0" w:evenHBand="1" w:firstRowFirstColumn="0" w:firstRowLastColumn="0" w:lastRowFirstColumn="0" w:lastRowLastColumn="0"/>
            </w:pPr>
            <w:r>
              <w:rPr>
                <w:sz w:val="18"/>
              </w:rPr>
              <w:t>33.849</w:t>
            </w:r>
          </w:p>
        </w:tc>
        <w:tc>
          <w:tcPr>
            <w:tcW w:w="1049" w:type="dxa"/>
            <w:vAlign w:val="center"/>
          </w:tcPr>
          <w:p w14:paraId="18DC7D94" w14:textId="77777777" w:rsidR="00C84A8D" w:rsidRDefault="00100C35">
            <w:pPr>
              <w:cnfStyle w:val="000000010000" w:firstRow="0" w:lastRow="0" w:firstColumn="0" w:lastColumn="0" w:oddVBand="0" w:evenVBand="0" w:oddHBand="0" w:evenHBand="1" w:firstRowFirstColumn="0" w:firstRowLastColumn="0" w:lastRowFirstColumn="0" w:lastRowLastColumn="0"/>
            </w:pPr>
            <w:r>
              <w:rPr>
                <w:sz w:val="18"/>
              </w:rPr>
              <w:t>34.637</w:t>
            </w:r>
          </w:p>
        </w:tc>
        <w:tc>
          <w:tcPr>
            <w:tcW w:w="1049" w:type="dxa"/>
            <w:vAlign w:val="center"/>
          </w:tcPr>
          <w:p w14:paraId="5DCA53FB" w14:textId="77777777" w:rsidR="00C84A8D" w:rsidRDefault="00100C35">
            <w:pPr>
              <w:cnfStyle w:val="000000010000" w:firstRow="0" w:lastRow="0" w:firstColumn="0" w:lastColumn="0" w:oddVBand="0" w:evenVBand="0" w:oddHBand="0" w:evenHBand="1" w:firstRowFirstColumn="0" w:firstRowLastColumn="0" w:lastRowFirstColumn="0" w:lastRowLastColumn="0"/>
            </w:pPr>
            <w:r>
              <w:rPr>
                <w:sz w:val="18"/>
              </w:rPr>
              <w:t>35.412</w:t>
            </w:r>
          </w:p>
        </w:tc>
      </w:tr>
      <w:tr w:rsidR="00C84A8D" w14:paraId="102E97F0" w14:textId="77777777" w:rsidTr="00C84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14:paraId="6C7C6356" w14:textId="77777777" w:rsidR="00C84A8D" w:rsidRPr="00CF35CB" w:rsidRDefault="00100C35">
            <w:pPr>
              <w:rPr>
                <w:lang w:val="es-CL"/>
              </w:rPr>
            </w:pPr>
            <w:r w:rsidRPr="00CF35CB">
              <w:rPr>
                <w:sz w:val="18"/>
                <w:lang w:val="es-CL"/>
              </w:rPr>
              <w:t>Demanda A2P (millones de mensajes)</w:t>
            </w:r>
          </w:p>
        </w:tc>
        <w:tc>
          <w:tcPr>
            <w:tcW w:w="1049" w:type="dxa"/>
            <w:vAlign w:val="center"/>
          </w:tcPr>
          <w:p w14:paraId="7AFBD92B"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17.420</w:t>
            </w:r>
          </w:p>
        </w:tc>
        <w:tc>
          <w:tcPr>
            <w:tcW w:w="1049" w:type="dxa"/>
            <w:vAlign w:val="center"/>
          </w:tcPr>
          <w:p w14:paraId="2AC73B70"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17.594</w:t>
            </w:r>
          </w:p>
        </w:tc>
        <w:tc>
          <w:tcPr>
            <w:tcW w:w="1049" w:type="dxa"/>
            <w:vAlign w:val="center"/>
          </w:tcPr>
          <w:p w14:paraId="383FF20F"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18.077</w:t>
            </w:r>
          </w:p>
        </w:tc>
        <w:tc>
          <w:tcPr>
            <w:tcW w:w="1049" w:type="dxa"/>
            <w:vAlign w:val="center"/>
          </w:tcPr>
          <w:p w14:paraId="0835F009"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18.551</w:t>
            </w:r>
          </w:p>
        </w:tc>
        <w:tc>
          <w:tcPr>
            <w:tcW w:w="1049" w:type="dxa"/>
            <w:vAlign w:val="center"/>
          </w:tcPr>
          <w:p w14:paraId="184640CB"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19.025</w:t>
            </w:r>
          </w:p>
        </w:tc>
        <w:tc>
          <w:tcPr>
            <w:tcW w:w="1049" w:type="dxa"/>
            <w:vAlign w:val="center"/>
          </w:tcPr>
          <w:p w14:paraId="5A307613" w14:textId="77777777" w:rsidR="00C84A8D" w:rsidRDefault="00100C35">
            <w:pPr>
              <w:cnfStyle w:val="000000100000" w:firstRow="0" w:lastRow="0" w:firstColumn="0" w:lastColumn="0" w:oddVBand="0" w:evenVBand="0" w:oddHBand="1" w:evenHBand="0" w:firstRowFirstColumn="0" w:firstRowLastColumn="0" w:lastRowFirstColumn="0" w:lastRowLastColumn="0"/>
            </w:pPr>
            <w:r>
              <w:rPr>
                <w:sz w:val="18"/>
              </w:rPr>
              <w:t>19.499</w:t>
            </w:r>
          </w:p>
        </w:tc>
      </w:tr>
    </w:tbl>
    <w:p w14:paraId="66878E47" w14:textId="77777777" w:rsidR="00C84A8D" w:rsidRDefault="00C84A8D">
      <w:pPr>
        <w:jc w:val="both"/>
      </w:pPr>
    </w:p>
    <w:p w14:paraId="796A2D8E" w14:textId="77777777" w:rsidR="00C84A8D" w:rsidRPr="00CF35CB" w:rsidRDefault="00100C35">
      <w:pPr>
        <w:jc w:val="both"/>
        <w:rPr>
          <w:lang w:val="es-CL"/>
        </w:rPr>
      </w:pPr>
      <w:r w:rsidRPr="00CF35CB">
        <w:rPr>
          <w:lang w:val="es-CL"/>
        </w:rPr>
        <w:t>Con estos flujos, el cálculo tarifario arroja los siguientes resultados agregados:</w:t>
      </w:r>
    </w:p>
    <w:tbl>
      <w:tblPr>
        <w:tblStyle w:val="Cuadrculaclara-nfasis1"/>
        <w:tblW w:w="0" w:type="auto"/>
        <w:tblLook w:val="04A0" w:firstRow="1" w:lastRow="0" w:firstColumn="1" w:lastColumn="0" w:noHBand="0" w:noVBand="1"/>
      </w:tblPr>
      <w:tblGrid>
        <w:gridCol w:w="6218"/>
        <w:gridCol w:w="3394"/>
      </w:tblGrid>
      <w:tr w:rsidR="00C84A8D" w:rsidRPr="00AB0CC3" w14:paraId="504093FF" w14:textId="77777777" w:rsidTr="00AB0C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8" w:type="dxa"/>
            <w:shd w:val="clear" w:color="auto" w:fill="1F4E79"/>
            <w:vAlign w:val="center"/>
          </w:tcPr>
          <w:p w14:paraId="796292C6" w14:textId="77777777" w:rsidR="00C84A8D" w:rsidRPr="00AB0CC3" w:rsidRDefault="00100C35">
            <w:pPr>
              <w:rPr>
                <w:lang w:val="es-CL"/>
              </w:rPr>
            </w:pPr>
            <w:r w:rsidRPr="00AB0CC3">
              <w:rPr>
                <w:color w:val="FFFFFF"/>
                <w:sz w:val="19"/>
                <w:lang w:val="es-CL"/>
              </w:rPr>
              <w:t>Magnitud</w:t>
            </w:r>
          </w:p>
        </w:tc>
        <w:tc>
          <w:tcPr>
            <w:tcW w:w="3394" w:type="dxa"/>
            <w:shd w:val="clear" w:color="auto" w:fill="1F4E79"/>
            <w:vAlign w:val="center"/>
          </w:tcPr>
          <w:p w14:paraId="55A5AF3D" w14:textId="77777777" w:rsidR="00C84A8D" w:rsidRPr="00AB0CC3" w:rsidRDefault="00100C35">
            <w:pPr>
              <w:cnfStyle w:val="100000000000" w:firstRow="1" w:lastRow="0" w:firstColumn="0" w:lastColumn="0" w:oddVBand="0" w:evenVBand="0" w:oddHBand="0" w:evenHBand="0" w:firstRowFirstColumn="0" w:firstRowLastColumn="0" w:lastRowFirstColumn="0" w:lastRowLastColumn="0"/>
              <w:rPr>
                <w:lang w:val="es-CL"/>
              </w:rPr>
            </w:pPr>
            <w:r w:rsidRPr="00AB0CC3">
              <w:rPr>
                <w:color w:val="FFFFFF"/>
                <w:sz w:val="19"/>
                <w:lang w:val="es-CL"/>
              </w:rPr>
              <w:t>Valor</w:t>
            </w:r>
          </w:p>
        </w:tc>
      </w:tr>
      <w:tr w:rsidR="00C84A8D" w:rsidRPr="00AB0CC3" w14:paraId="5FA498B6" w14:textId="77777777" w:rsidTr="00AB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8" w:type="dxa"/>
            <w:vAlign w:val="center"/>
          </w:tcPr>
          <w:p w14:paraId="587A797F" w14:textId="77777777" w:rsidR="00C84A8D" w:rsidRPr="00AB0CC3" w:rsidRDefault="00100C35">
            <w:pPr>
              <w:rPr>
                <w:lang w:val="es-CL"/>
              </w:rPr>
            </w:pPr>
            <w:r w:rsidRPr="00AB0CC3">
              <w:rPr>
                <w:sz w:val="19"/>
                <w:lang w:val="es-CL"/>
              </w:rPr>
              <w:t>Costo total de largo plazo asignado al servicio A2P (valor presente 2026-2030)</w:t>
            </w:r>
          </w:p>
        </w:tc>
        <w:tc>
          <w:tcPr>
            <w:tcW w:w="3394" w:type="dxa"/>
            <w:vAlign w:val="center"/>
          </w:tcPr>
          <w:p w14:paraId="6D93F17F"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COP 163.802 millones</w:t>
            </w:r>
          </w:p>
        </w:tc>
      </w:tr>
      <w:tr w:rsidR="00C84A8D" w:rsidRPr="00AB0CC3" w14:paraId="082F376D" w14:textId="77777777" w:rsidTr="00AB0C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8" w:type="dxa"/>
            <w:vAlign w:val="center"/>
          </w:tcPr>
          <w:p w14:paraId="48835675" w14:textId="77777777" w:rsidR="00C84A8D" w:rsidRPr="00AB0CC3" w:rsidRDefault="00100C35">
            <w:pPr>
              <w:rPr>
                <w:lang w:val="es-CL"/>
              </w:rPr>
            </w:pPr>
            <w:r w:rsidRPr="00AB0CC3">
              <w:rPr>
                <w:sz w:val="19"/>
                <w:lang w:val="es-CL"/>
              </w:rPr>
              <w:t>Demanda A2P en valor presente (2026-2030)</w:t>
            </w:r>
          </w:p>
        </w:tc>
        <w:tc>
          <w:tcPr>
            <w:tcW w:w="3394" w:type="dxa"/>
            <w:vAlign w:val="center"/>
          </w:tcPr>
          <w:p w14:paraId="7198A642"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67.206 millones de mensajes</w:t>
            </w:r>
          </w:p>
        </w:tc>
      </w:tr>
      <w:tr w:rsidR="00C84A8D" w:rsidRPr="00AB0CC3" w14:paraId="375B7E95" w14:textId="77777777" w:rsidTr="00AB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8" w:type="dxa"/>
            <w:vAlign w:val="center"/>
          </w:tcPr>
          <w:p w14:paraId="166E1768" w14:textId="77777777" w:rsidR="00C84A8D" w:rsidRPr="00AB0CC3" w:rsidRDefault="00100C35">
            <w:pPr>
              <w:rPr>
                <w:lang w:val="es-CL"/>
              </w:rPr>
            </w:pPr>
            <w:r w:rsidRPr="00AB0CC3">
              <w:rPr>
                <w:sz w:val="19"/>
                <w:lang w:val="es-CL"/>
              </w:rPr>
              <w:t>Factor de capital de trabajo (KT)</w:t>
            </w:r>
          </w:p>
        </w:tc>
        <w:tc>
          <w:tcPr>
            <w:tcW w:w="3394" w:type="dxa"/>
            <w:vAlign w:val="center"/>
          </w:tcPr>
          <w:p w14:paraId="1884BD36" w14:textId="77777777" w:rsidR="00C84A8D" w:rsidRPr="00AB0CC3" w:rsidRDefault="00100C35">
            <w:pPr>
              <w:cnfStyle w:val="000000100000" w:firstRow="0" w:lastRow="0" w:firstColumn="0" w:lastColumn="0" w:oddVBand="0" w:evenVBand="0" w:oddHBand="1" w:evenHBand="0" w:firstRowFirstColumn="0" w:firstRowLastColumn="0" w:lastRowFirstColumn="0" w:lastRowLastColumn="0"/>
              <w:rPr>
                <w:lang w:val="es-CL"/>
              </w:rPr>
            </w:pPr>
            <w:r w:rsidRPr="00AB0CC3">
              <w:rPr>
                <w:sz w:val="19"/>
                <w:lang w:val="es-CL"/>
              </w:rPr>
              <w:t>1,0223</w:t>
            </w:r>
          </w:p>
        </w:tc>
      </w:tr>
      <w:tr w:rsidR="00C84A8D" w:rsidRPr="00AB0CC3" w14:paraId="7B2D1C74" w14:textId="77777777" w:rsidTr="00AB0C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8" w:type="dxa"/>
            <w:vAlign w:val="center"/>
          </w:tcPr>
          <w:p w14:paraId="4C13FC49" w14:textId="77777777" w:rsidR="00C84A8D" w:rsidRPr="00AB0CC3" w:rsidRDefault="00100C35">
            <w:pPr>
              <w:rPr>
                <w:lang w:val="es-CL"/>
              </w:rPr>
            </w:pPr>
            <w:r w:rsidRPr="00AB0CC3">
              <w:rPr>
                <w:sz w:val="19"/>
                <w:lang w:val="es-CL"/>
              </w:rPr>
              <w:t>Costo unitario adicional por mensaje A2P</w:t>
            </w:r>
          </w:p>
        </w:tc>
        <w:tc>
          <w:tcPr>
            <w:tcW w:w="3394" w:type="dxa"/>
            <w:vAlign w:val="center"/>
          </w:tcPr>
          <w:p w14:paraId="35C25469" w14:textId="77777777" w:rsidR="00C84A8D" w:rsidRPr="00AB0CC3" w:rsidRDefault="00100C35">
            <w:pPr>
              <w:cnfStyle w:val="000000010000" w:firstRow="0" w:lastRow="0" w:firstColumn="0" w:lastColumn="0" w:oddVBand="0" w:evenVBand="0" w:oddHBand="0" w:evenHBand="1" w:firstRowFirstColumn="0" w:firstRowLastColumn="0" w:lastRowFirstColumn="0" w:lastRowLastColumn="0"/>
              <w:rPr>
                <w:lang w:val="es-CL"/>
              </w:rPr>
            </w:pPr>
            <w:r w:rsidRPr="00AB0CC3">
              <w:rPr>
                <w:sz w:val="19"/>
                <w:lang w:val="es-CL"/>
              </w:rPr>
              <w:t>COP 2,50 por mensaje</w:t>
            </w:r>
          </w:p>
        </w:tc>
      </w:tr>
    </w:tbl>
    <w:p w14:paraId="7C1D167F" w14:textId="77777777" w:rsidR="00C84A8D" w:rsidRDefault="00C84A8D">
      <w:pPr>
        <w:jc w:val="both"/>
      </w:pPr>
    </w:p>
    <w:p w14:paraId="02F5036C" w14:textId="2B528856" w:rsidR="00C84A8D" w:rsidRPr="00CF35CB" w:rsidRDefault="00100C35">
      <w:pPr>
        <w:jc w:val="both"/>
        <w:rPr>
          <w:lang w:val="es-CL"/>
        </w:rPr>
      </w:pPr>
      <w:r w:rsidRPr="00CF35CB">
        <w:rPr>
          <w:lang w:val="es-CL"/>
        </w:rPr>
        <w:t xml:space="preserve">El resultado central del ejercicio es que un cobro unitario cercano a 2,50 pesos por mensaje A2P recupera, en valor presente y a la tasa de costo de capital del sector, la totalidad de la inversión y de los gastos de operación del programa de mitigación del fraude, tanto en sus componentes de mensajería como en los </w:t>
      </w:r>
      <w:r w:rsidR="00AB0CC3">
        <w:rPr>
          <w:lang w:val="es-CL"/>
        </w:rPr>
        <w:t>costos potenciales de la</w:t>
      </w:r>
      <w:r w:rsidRPr="00CF35CB">
        <w:rPr>
          <w:lang w:val="es-CL"/>
        </w:rPr>
        <w:t xml:space="preserve"> voz. </w:t>
      </w:r>
    </w:p>
    <w:p w14:paraId="0C90EE53" w14:textId="77777777" w:rsidR="00C84A8D" w:rsidRPr="00CF35CB" w:rsidRDefault="00100C35">
      <w:pPr>
        <w:pStyle w:val="Ttulo1"/>
        <w:rPr>
          <w:lang w:val="es-CL"/>
        </w:rPr>
      </w:pPr>
      <w:r w:rsidRPr="00CF35CB">
        <w:rPr>
          <w:color w:val="1F4E79"/>
          <w:lang w:val="es-CL"/>
        </w:rPr>
        <w:lastRenderedPageBreak/>
        <w:t>7. Justificación económica de la recuperación por la vía del mensaje A2P</w:t>
      </w:r>
    </w:p>
    <w:p w14:paraId="2F13A073" w14:textId="77777777" w:rsidR="00C84A8D" w:rsidRPr="00CF35CB" w:rsidRDefault="00100C35">
      <w:pPr>
        <w:jc w:val="both"/>
        <w:rPr>
          <w:lang w:val="es-CL"/>
        </w:rPr>
      </w:pPr>
      <w:r w:rsidRPr="00CF35CB">
        <w:rPr>
          <w:lang w:val="es-CL"/>
        </w:rPr>
        <w:t>La decisión de que el costo unitario del mensaje A2P sustente la totalidad del programa se apoya en los argumentos de economía regulatoria que se desarrollan en esta sección.</w:t>
      </w:r>
    </w:p>
    <w:p w14:paraId="1EFF3263" w14:textId="77777777" w:rsidR="00C84A8D" w:rsidRPr="00CF35CB" w:rsidRDefault="00100C35">
      <w:pPr>
        <w:pStyle w:val="Ttulo2"/>
        <w:rPr>
          <w:lang w:val="es-CL"/>
        </w:rPr>
      </w:pPr>
      <w:r w:rsidRPr="00CF35CB">
        <w:rPr>
          <w:color w:val="1F4E79"/>
          <w:lang w:val="es-CL"/>
        </w:rPr>
        <w:t>7.1 Causalidad del costo</w:t>
      </w:r>
    </w:p>
    <w:p w14:paraId="3F3CC9A8" w14:textId="692341ED" w:rsidR="00C84A8D" w:rsidRPr="00CF35CB" w:rsidRDefault="00100C35">
      <w:pPr>
        <w:jc w:val="both"/>
        <w:rPr>
          <w:lang w:val="es-CL"/>
        </w:rPr>
      </w:pPr>
      <w:r w:rsidRPr="00CF35CB">
        <w:rPr>
          <w:lang w:val="es-CL"/>
        </w:rPr>
        <w:t xml:space="preserve">El principio de causalidad indica que los costos deben ser asumidos por quien los origina. Las modalidades de fraude que el programa combate, </w:t>
      </w:r>
      <w:proofErr w:type="spellStart"/>
      <w:r w:rsidRPr="00CF35CB">
        <w:rPr>
          <w:lang w:val="es-CL"/>
        </w:rPr>
        <w:t>smishing</w:t>
      </w:r>
      <w:proofErr w:type="spellEnd"/>
      <w:r w:rsidRPr="00CF35CB">
        <w:rPr>
          <w:lang w:val="es-CL"/>
        </w:rPr>
        <w:t xml:space="preserve"> y </w:t>
      </w:r>
      <w:proofErr w:type="spellStart"/>
      <w:r w:rsidRPr="00CF35CB">
        <w:rPr>
          <w:lang w:val="es-CL"/>
        </w:rPr>
        <w:t>vishing</w:t>
      </w:r>
      <w:proofErr w:type="spellEnd"/>
      <w:r w:rsidRPr="00CF35CB">
        <w:rPr>
          <w:lang w:val="es-CL"/>
        </w:rPr>
        <w:t>, explotan el canal de comunicaciones comerciales masivas: se hacen pasar por mensajes</w:t>
      </w:r>
      <w:r w:rsidR="00AB0CC3">
        <w:rPr>
          <w:lang w:val="es-CL"/>
        </w:rPr>
        <w:t xml:space="preserve"> principalmente</w:t>
      </w:r>
      <w:r w:rsidRPr="00CF35CB">
        <w:rPr>
          <w:lang w:val="es-CL"/>
        </w:rPr>
        <w:t xml:space="preserve"> y </w:t>
      </w:r>
      <w:r w:rsidR="00AB0CC3">
        <w:rPr>
          <w:lang w:val="es-CL"/>
        </w:rPr>
        <w:t xml:space="preserve">en menor medida </w:t>
      </w:r>
      <w:r w:rsidRPr="00CF35CB">
        <w:rPr>
          <w:lang w:val="es-CL"/>
        </w:rPr>
        <w:t xml:space="preserve">llamadas de empresas legítimas. Las capacidades del programa, verificación de identidad de originadores, registro de remitentes, depuración de tráfico y etiquetado, existen precisamente porque existe un canal empresarial masivo que debe ser protegido y verificado. El tráfico A2P es, en ese sentido, el hecho generador del costo del sistema, con independencia de que algunas medidas operen </w:t>
      </w:r>
      <w:r w:rsidR="00AB0CC3">
        <w:rPr>
          <w:lang w:val="es-CL"/>
        </w:rPr>
        <w:t>administrativamente</w:t>
      </w:r>
      <w:r w:rsidRPr="00CF35CB">
        <w:rPr>
          <w:lang w:val="es-CL"/>
        </w:rPr>
        <w:t xml:space="preserve"> sobre la red de voz.</w:t>
      </w:r>
    </w:p>
    <w:p w14:paraId="1A111161" w14:textId="77777777" w:rsidR="00C84A8D" w:rsidRPr="00CF35CB" w:rsidRDefault="00100C35">
      <w:pPr>
        <w:pStyle w:val="Ttulo2"/>
        <w:rPr>
          <w:lang w:val="es-CL"/>
        </w:rPr>
      </w:pPr>
      <w:r w:rsidRPr="00CF35CB">
        <w:rPr>
          <w:color w:val="1F4E79"/>
          <w:lang w:val="es-CL"/>
        </w:rPr>
        <w:t>7.2 Beneficiario del sistema</w:t>
      </w:r>
    </w:p>
    <w:p w14:paraId="1BD48238" w14:textId="77777777" w:rsidR="00C84A8D" w:rsidRPr="00CF35CB" w:rsidRDefault="00100C35">
      <w:pPr>
        <w:jc w:val="both"/>
        <w:rPr>
          <w:lang w:val="es-CL"/>
        </w:rPr>
      </w:pPr>
      <w:r w:rsidRPr="00CF35CB">
        <w:rPr>
          <w:lang w:val="es-CL"/>
        </w:rPr>
        <w:t>El principal beneficiario económico de un canal verificado es el propio ecosistema empresarial. La evidencia internacional sobre cortafuegos y registro de originadores muestra que el cierre de las rutas no autorizadas y la recuperación de la confianza del usuario incrementan de manera sustancial el valor del canal para las marcas: los mensajes verificados se leen y las llamadas identificadas se contestan. Los usuarios finales, por su parte, son la población protegida, no la beneficiaria comercial, y el mercado de mensajería entre personas es hoy marginal en Colombia, de modo que trasladarles el costo carecería de fundamento y sería regresivo.</w:t>
      </w:r>
    </w:p>
    <w:p w14:paraId="429458DD" w14:textId="77777777" w:rsidR="00C84A8D" w:rsidRPr="00CF35CB" w:rsidRDefault="00100C35">
      <w:pPr>
        <w:pStyle w:val="Ttulo2"/>
        <w:rPr>
          <w:lang w:val="es-CL"/>
        </w:rPr>
      </w:pPr>
      <w:r w:rsidRPr="00CF35CB">
        <w:rPr>
          <w:color w:val="1F4E79"/>
          <w:lang w:val="es-CL"/>
        </w:rPr>
        <w:t>7.3 Consistencia con la práctica internacional</w:t>
      </w:r>
    </w:p>
    <w:p w14:paraId="5021EACE" w14:textId="77777777" w:rsidR="00C84A8D" w:rsidRPr="00CF35CB" w:rsidRDefault="00100C35">
      <w:pPr>
        <w:jc w:val="both"/>
        <w:rPr>
          <w:lang w:val="es-CL"/>
        </w:rPr>
      </w:pPr>
      <w:r w:rsidRPr="00CF35CB">
        <w:rPr>
          <w:lang w:val="es-CL"/>
        </w:rPr>
        <w:t>Como se expuso en la sección 2.3, los regímenes en operación coinciden en radicar el costo en el eslabón empresarial: el cargo por depuración del registro indio, las tarifas de registro y los sobrecargos por mensaje del esquema estadounidense y la tarifa anual por identificador del registro de Singapur son pagados por las entidades originadoras o por sus intermediarios, y la evidencia disponible indica un traslado casi completo hacia el originador final. El valor resultante del modelo colombiano, cercano a 2,50 pesos por mensaje, es del mismo orden de magnitud que la suma de los cargos unitarios y sobrecargos observados en esos regímenes.</w:t>
      </w:r>
    </w:p>
    <w:p w14:paraId="4039B67B" w14:textId="77777777" w:rsidR="00C84A8D" w:rsidRPr="00CF35CB" w:rsidRDefault="00100C35">
      <w:pPr>
        <w:pStyle w:val="Ttulo2"/>
        <w:rPr>
          <w:lang w:val="es-CL"/>
        </w:rPr>
      </w:pPr>
      <w:r w:rsidRPr="00CF35CB">
        <w:rPr>
          <w:color w:val="1F4E79"/>
          <w:lang w:val="es-CL"/>
        </w:rPr>
        <w:t>7.4 Capacidad de absorción del canal</w:t>
      </w:r>
    </w:p>
    <w:p w14:paraId="011A57C4" w14:textId="77777777" w:rsidR="00C84A8D" w:rsidRPr="00CF35CB" w:rsidRDefault="00100C35">
      <w:pPr>
        <w:jc w:val="both"/>
        <w:rPr>
          <w:lang w:val="es-CL"/>
        </w:rPr>
      </w:pPr>
      <w:r w:rsidRPr="00D05266">
        <w:rPr>
          <w:lang w:val="es-CL"/>
        </w:rPr>
        <w:t>Las series oficiales de tráfico e ingresos muestran que el canal A2P colombiano opera con una brecha significativa entre el ingreso que percibe el operador de red por mensaje, del orden de 0,83 pesos, y la facturación de la cadena de valor hacia las marcas, cercana a 4,16 pesos por mensaje [12]. Un cargo de 2,50 pesos por mensaje se ubica dentro de esa brecha y dentro de la banda de sensibilidad utilizada en el análisis del eslabón de agregación, de 0,5 a 3,0 pesos por mensaje. Adicionalmente, la evidencia internacional de elasticidad indica que la demanda A2P sólo se contrae de manera apreciable ante precios por mensaje muy superiores a los niveles colombianos, por lo que el riesgo de destrucción de volumen es bajo y la carga tiende a trasladarse ordenadamente hacia las marcas usuarias del canal.</w:t>
      </w:r>
    </w:p>
    <w:p w14:paraId="6AA5ADD4" w14:textId="77777777" w:rsidR="00C84A8D" w:rsidRPr="00CF35CB" w:rsidRDefault="00100C35">
      <w:pPr>
        <w:pStyle w:val="Ttulo2"/>
        <w:rPr>
          <w:lang w:val="es-CL"/>
        </w:rPr>
      </w:pPr>
      <w:r w:rsidRPr="00CF35CB">
        <w:rPr>
          <w:color w:val="1F4E79"/>
          <w:lang w:val="es-CL"/>
        </w:rPr>
        <w:t>7.5 Simplicidad administrativa y neutralidad</w:t>
      </w:r>
    </w:p>
    <w:p w14:paraId="710A7D9F" w14:textId="77777777" w:rsidR="00C84A8D" w:rsidRPr="00CF35CB" w:rsidRDefault="00100C35">
      <w:pPr>
        <w:jc w:val="both"/>
        <w:rPr>
          <w:lang w:val="es-CL"/>
        </w:rPr>
      </w:pPr>
      <w:r w:rsidRPr="00CF35CB">
        <w:rPr>
          <w:lang w:val="es-CL"/>
        </w:rPr>
        <w:t xml:space="preserve">El canal A2P ofrece un punto único y medible de recaudo: todo mensaje empresarial atraviesa plataformas identificadas y contratos mayoristas trazables, lo que permite aplicar un cargo unitario uniforme sin crear nuevas obligaciones para los usuarios ni tarifas minoristas adicionales. Un cargo por </w:t>
      </w:r>
      <w:r w:rsidRPr="00CF35CB">
        <w:rPr>
          <w:lang w:val="es-CL"/>
        </w:rPr>
        <w:lastRenderedPageBreak/>
        <w:t>mensaje idéntico para todos los originadores es neutral entre competidores, no discrimina por tamaño y evita los problemas de asignación que tendría un esquema de cuotas fijas por agente, que castigaría a los actores pequeños.</w:t>
      </w:r>
    </w:p>
    <w:p w14:paraId="3A823FBD" w14:textId="77777777" w:rsidR="00C84A8D" w:rsidRPr="00CF35CB" w:rsidRDefault="00100C35">
      <w:pPr>
        <w:pStyle w:val="Ttulo1"/>
        <w:rPr>
          <w:lang w:val="es-CL"/>
        </w:rPr>
      </w:pPr>
      <w:r w:rsidRPr="00CF35CB">
        <w:rPr>
          <w:color w:val="1F4E79"/>
          <w:lang w:val="es-CL"/>
        </w:rPr>
        <w:t>8. Consideraciones finales</w:t>
      </w:r>
    </w:p>
    <w:p w14:paraId="31D3FC9E" w14:textId="77777777" w:rsidR="00C84A8D" w:rsidRPr="00CF35CB" w:rsidRDefault="00100C35">
      <w:pPr>
        <w:jc w:val="both"/>
        <w:rPr>
          <w:lang w:val="es-CL"/>
        </w:rPr>
      </w:pPr>
      <w:r w:rsidRPr="00CF35CB">
        <w:rPr>
          <w:lang w:val="es-CL"/>
        </w:rPr>
        <w:t xml:space="preserve">El ejercicio muestra que un costo unitario cercano a 2,50 pesos por mensaje A2P recupera en valor presente la totalidad del programa de mitigación del fraude en voz y SMS, sin </w:t>
      </w:r>
      <w:proofErr w:type="spellStart"/>
      <w:r w:rsidRPr="00CF35CB">
        <w:rPr>
          <w:lang w:val="es-CL"/>
        </w:rPr>
        <w:t>sobrerrecuperación</w:t>
      </w:r>
      <w:proofErr w:type="spellEnd"/>
      <w:r w:rsidRPr="00CF35CB">
        <w:rPr>
          <w:lang w:val="es-CL"/>
        </w:rPr>
        <w:t xml:space="preserve"> ni déficit, bajo la misma metodología de empresa eficiente que sustenta la regulación vigente de cargos de acceso. La radicación del costo en el canal A2P es consistente con los principios de causalidad y de beneficio, con la práctica internacional en regímenes comparables y con la capacidad de absorción documentada del canal, y evita trasladar el costo a los usuarios finales, que son precisamente la población que la intervención busca proteger.</w:t>
      </w:r>
    </w:p>
    <w:p w14:paraId="2C8F13C3" w14:textId="77777777" w:rsidR="00C84A8D" w:rsidRPr="00CF35CB" w:rsidRDefault="00100C35">
      <w:pPr>
        <w:jc w:val="both"/>
        <w:rPr>
          <w:lang w:val="es-CL"/>
        </w:rPr>
      </w:pPr>
      <w:r w:rsidRPr="00CF35CB">
        <w:rPr>
          <w:lang w:val="es-CL"/>
        </w:rPr>
        <w:t>El resultado debe leerse como el valor central de un ejercicio paramétrico. Los conductores de demanda, los costos unitarios y el traslado efectivo hacia las marcas pueden recalibrarse con la información que aporten los agentes del ecosistema, en particular los agregadores e integradores de mensajería, en el marco de los requerimientos de información del proyecto regulatorio. La segunda fase anunciada por la CRC, orientada a la remuneración del servicio de SMS en el ecosistema A2P, constituye el espacio natural para adoptar y refinar el esquema de recuperación aquí descrito.</w:t>
      </w:r>
    </w:p>
    <w:p w14:paraId="07F5FBEE" w14:textId="77777777" w:rsidR="00C84A8D" w:rsidRPr="00CF35CB" w:rsidRDefault="00100C35">
      <w:pPr>
        <w:pStyle w:val="Ttulo1"/>
        <w:rPr>
          <w:lang w:val="es-CL"/>
        </w:rPr>
      </w:pPr>
      <w:r w:rsidRPr="00CF35CB">
        <w:rPr>
          <w:color w:val="1F4E79"/>
          <w:lang w:val="es-CL"/>
        </w:rPr>
        <w:t>9. Referencias</w:t>
      </w:r>
    </w:p>
    <w:p w14:paraId="02CE9602" w14:textId="77777777" w:rsidR="00C84A8D" w:rsidRPr="00CF35CB" w:rsidRDefault="00100C35">
      <w:pPr>
        <w:jc w:val="both"/>
        <w:rPr>
          <w:lang w:val="es-CL"/>
        </w:rPr>
      </w:pPr>
      <w:r w:rsidRPr="00D05266">
        <w:rPr>
          <w:sz w:val="20"/>
          <w:lang w:val="es-CL"/>
        </w:rPr>
        <w:t>[1] Comisión de Regulación de Comunicaciones. Proyecto regulatorio Identificación de medidas para mitigar el fraude cibernético por medio de servicios móviles. Documento de alternativas regulatorias publicado el 21 de noviembre de 2025, con consulta pública hasta el 22 de diciembre de 2025, y propuesta regulatoria publicada para comentarios en junio de 2026, con plazo hasta el 23 de junio de 2026. www.crcom.gov.co</w:t>
      </w:r>
    </w:p>
    <w:p w14:paraId="4A5D7536" w14:textId="77777777" w:rsidR="00C84A8D" w:rsidRPr="00CF35CB" w:rsidRDefault="00100C35">
      <w:pPr>
        <w:jc w:val="both"/>
        <w:rPr>
          <w:lang w:val="es-CL"/>
        </w:rPr>
      </w:pPr>
      <w:r w:rsidRPr="00CF35CB">
        <w:rPr>
          <w:sz w:val="20"/>
          <w:lang w:val="es-CL"/>
        </w:rPr>
        <w:t>[2] Comisión de Regulación de Comunicaciones. Resolución 5050 de 2016, compilatoria de la regulación general, en particular el régimen de remuneración por terminación de mensajes cortos de texto con fundamento en el modelo de empresa eficiente móvil.</w:t>
      </w:r>
    </w:p>
    <w:p w14:paraId="7E667215" w14:textId="77777777" w:rsidR="00C84A8D" w:rsidRPr="00CF35CB" w:rsidRDefault="00100C35">
      <w:pPr>
        <w:jc w:val="both"/>
        <w:rPr>
          <w:lang w:val="es-CL"/>
        </w:rPr>
      </w:pPr>
      <w:r w:rsidRPr="00CF35CB">
        <w:rPr>
          <w:sz w:val="20"/>
          <w:lang w:val="es-CL"/>
        </w:rPr>
        <w:t>[3] Congreso de la República de Colombia. Ley 1341 de 2009 y Ley 1978 de 2019, marco de facultades de la CRC y principios de regulación por costos eficientes.</w:t>
      </w:r>
    </w:p>
    <w:p w14:paraId="3B337BD3" w14:textId="77777777" w:rsidR="00C84A8D" w:rsidRPr="00CF35CB" w:rsidRDefault="00100C35">
      <w:pPr>
        <w:jc w:val="both"/>
        <w:rPr>
          <w:lang w:val="es-CL"/>
        </w:rPr>
      </w:pPr>
      <w:r w:rsidRPr="00CF35CB">
        <w:rPr>
          <w:sz w:val="20"/>
          <w:lang w:val="es-CL"/>
        </w:rPr>
        <w:t>[4] Congreso de la República de Colombia. Ley 2300 de 2023, y Comisión de Regulación de Comunicaciones, Resolución 7356 de 2024, Registro de Números Excluidos.</w:t>
      </w:r>
    </w:p>
    <w:p w14:paraId="41223295" w14:textId="77777777" w:rsidR="00C84A8D" w:rsidRPr="00CF35CB" w:rsidRDefault="00100C35">
      <w:pPr>
        <w:jc w:val="both"/>
        <w:rPr>
          <w:lang w:val="es-CL"/>
        </w:rPr>
      </w:pPr>
      <w:r>
        <w:rPr>
          <w:sz w:val="20"/>
        </w:rPr>
        <w:t xml:space="preserve">[5] Telecom Regulatory Authority of India. </w:t>
      </w:r>
      <w:r w:rsidRPr="00D05266">
        <w:rPr>
          <w:sz w:val="20"/>
          <w:lang w:val="es-CL"/>
        </w:rPr>
        <w:t>Telecom Commercial Communications Customer Preference Regulations, 2018, y documentación operativa del sistema DLT de registro de entidades, cabeceras y depuración de tráfico, con cargo de depuración de 0,025 rupias por mensaje vigente desde septiembre de 2020.</w:t>
      </w:r>
    </w:p>
    <w:p w14:paraId="57FB4B4E" w14:textId="77777777" w:rsidR="00C84A8D" w:rsidRPr="00CF35CB" w:rsidRDefault="00100C35">
      <w:pPr>
        <w:jc w:val="both"/>
        <w:rPr>
          <w:lang w:val="es-CL"/>
        </w:rPr>
      </w:pPr>
      <w:r w:rsidRPr="00CF35CB">
        <w:rPr>
          <w:sz w:val="20"/>
          <w:lang w:val="es-CL"/>
        </w:rPr>
        <w:t xml:space="preserve">[6] The </w:t>
      </w:r>
      <w:proofErr w:type="spellStart"/>
      <w:r w:rsidRPr="00CF35CB">
        <w:rPr>
          <w:sz w:val="20"/>
          <w:lang w:val="es-CL"/>
        </w:rPr>
        <w:t>Campaign</w:t>
      </w:r>
      <w:proofErr w:type="spellEnd"/>
      <w:r w:rsidRPr="00CF35CB">
        <w:rPr>
          <w:sz w:val="20"/>
          <w:lang w:val="es-CL"/>
        </w:rPr>
        <w:t xml:space="preserve"> </w:t>
      </w:r>
      <w:proofErr w:type="spellStart"/>
      <w:r w:rsidRPr="00CF35CB">
        <w:rPr>
          <w:sz w:val="20"/>
          <w:lang w:val="es-CL"/>
        </w:rPr>
        <w:t>Registry</w:t>
      </w:r>
      <w:proofErr w:type="spellEnd"/>
      <w:r w:rsidRPr="00CF35CB">
        <w:rPr>
          <w:sz w:val="20"/>
          <w:lang w:val="es-CL"/>
        </w:rPr>
        <w:t>. Documentación pública de tarifas de registro de marcas y campañas del ecosistema 10DLC y sobrecargos por mensaje aplicados por los operadores de Estados Unidos.</w:t>
      </w:r>
    </w:p>
    <w:p w14:paraId="5E84CC9F" w14:textId="77777777" w:rsidR="00C84A8D" w:rsidRPr="00CF35CB" w:rsidRDefault="00100C35">
      <w:pPr>
        <w:jc w:val="both"/>
        <w:rPr>
          <w:lang w:val="es-CL"/>
        </w:rPr>
      </w:pPr>
      <w:r>
        <w:rPr>
          <w:sz w:val="20"/>
        </w:rPr>
        <w:t xml:space="preserve">[7] Infocomm Media Development Authority de Singapur. </w:t>
      </w:r>
      <w:r w:rsidRPr="00D05266">
        <w:rPr>
          <w:sz w:val="20"/>
          <w:lang w:val="es-CL"/>
        </w:rPr>
        <w:t>Full SMS Sender ID Registry, régimen obligatorio desde el 31 de enero de 2023, con tarifa de vinculación de 500 dólares de Singapur, tarifa anual de 200 dólares de Singapur por identificador y bloqueo de los identificadores no registrados.</w:t>
      </w:r>
    </w:p>
    <w:p w14:paraId="27AACF13" w14:textId="77777777" w:rsidR="00C84A8D" w:rsidRPr="00CF35CB" w:rsidRDefault="00100C35">
      <w:pPr>
        <w:jc w:val="both"/>
        <w:rPr>
          <w:lang w:val="es-CL"/>
        </w:rPr>
      </w:pPr>
      <w:r>
        <w:rPr>
          <w:sz w:val="20"/>
        </w:rPr>
        <w:lastRenderedPageBreak/>
        <w:t xml:space="preserve">[8] Ofcom. Business messaging: Review of the A2P SMS termination market. </w:t>
      </w:r>
      <w:r w:rsidRPr="00D05266">
        <w:rPr>
          <w:sz w:val="20"/>
          <w:lang w:val="es-CL"/>
        </w:rPr>
        <w:t>Consulta de enero de 2025 y decisión de octubre de 2025 con compromisos voluntarios de los operadores móviles del Reino Unido. www.ofcom.org.uk</w:t>
      </w:r>
    </w:p>
    <w:p w14:paraId="6CE7C914" w14:textId="77777777" w:rsidR="00C84A8D" w:rsidRPr="00D05266" w:rsidRDefault="00100C35">
      <w:pPr>
        <w:jc w:val="both"/>
        <w:rPr>
          <w:lang w:val="en-GB"/>
        </w:rPr>
      </w:pPr>
      <w:r>
        <w:rPr>
          <w:sz w:val="20"/>
        </w:rPr>
        <w:t>[9] Sahin, M., Francillon, A., Gupta, P. y Ahamad, M. SoK: Fraud in Telephony Networks. 2017 IEEE European Symposium on Security and Privacy (EuroS&amp;P), páginas 235 a 250, 2017. DOI 10.1109/EuroSP.2017.40</w:t>
      </w:r>
    </w:p>
    <w:p w14:paraId="1319ED3E" w14:textId="77777777" w:rsidR="00C84A8D" w:rsidRPr="00D05266" w:rsidRDefault="00100C35">
      <w:pPr>
        <w:jc w:val="both"/>
        <w:rPr>
          <w:lang w:val="en-GB"/>
        </w:rPr>
      </w:pPr>
      <w:r>
        <w:rPr>
          <w:sz w:val="20"/>
        </w:rPr>
        <w:t>[10] Tu, H., Doupé, A., Zhao, Z. y Ahn, G. SoK: Everyone Hates Robocalls: A Survey of Techniques Against Telephone Spam. 2016 IEEE Symposium on Security and Privacy (SP), páginas 320 a 338, 2016. DOI 10.1109/SP.2016.27</w:t>
      </w:r>
    </w:p>
    <w:p w14:paraId="64AF296E" w14:textId="77777777" w:rsidR="00C84A8D" w:rsidRPr="00CF35CB" w:rsidRDefault="00100C35">
      <w:pPr>
        <w:jc w:val="both"/>
        <w:rPr>
          <w:lang w:val="es-CL"/>
        </w:rPr>
      </w:pPr>
      <w:r>
        <w:rPr>
          <w:sz w:val="20"/>
        </w:rPr>
        <w:t xml:space="preserve">[11] Anderson, R., Barton, C., Böhme, R., Clayton, R., van Eeten, M., Levi, M., Moore, T. y Savage, S. Measuring the Cost of Cybercrime. En The Economics of Information Security and Privacy, Springer, páginas 265 a 300, 2013. </w:t>
      </w:r>
      <w:r w:rsidRPr="00D05266">
        <w:rPr>
          <w:sz w:val="20"/>
          <w:lang w:val="es-CL"/>
        </w:rPr>
        <w:t>DOI 10.1007/978-3-642-39498-0_12</w:t>
      </w:r>
    </w:p>
    <w:p w14:paraId="5ED6C12D" w14:textId="77777777" w:rsidR="00C84A8D" w:rsidRPr="00CF35CB" w:rsidRDefault="00100C35">
      <w:pPr>
        <w:jc w:val="both"/>
        <w:rPr>
          <w:lang w:val="es-CL"/>
        </w:rPr>
      </w:pPr>
      <w:r w:rsidRPr="00D05266">
        <w:rPr>
          <w:sz w:val="20"/>
          <w:lang w:val="es-CL"/>
        </w:rPr>
        <w:t>[12] Comisión de Regulación de Comunicaciones, sistema PostData. Series de tráfico e ingresos de mensajería corta 2017 a 2025, formatos de tráfico e ingresos por códigos cortos y de mensajería móvil persona a persona.</w:t>
      </w:r>
    </w:p>
    <w:p w14:paraId="6FBDBACE" w14:textId="77777777" w:rsidR="00C84A8D" w:rsidRPr="00CF35CB" w:rsidRDefault="00100C35">
      <w:pPr>
        <w:jc w:val="both"/>
        <w:rPr>
          <w:lang w:val="es-CL"/>
        </w:rPr>
      </w:pPr>
      <w:r w:rsidRPr="00D05266">
        <w:rPr>
          <w:sz w:val="20"/>
          <w:lang w:val="es-CL"/>
        </w:rPr>
        <w:t>[13] Modelo de costos Modelo_Móvil_CRC_5G_v46_pub_E1_Fraude_vpub.xlsm y documentación de soporte del módulo de fraude, incluido el informe del rango de inversión de la solución de mitigación.</w:t>
      </w:r>
    </w:p>
    <w:sectPr w:rsidR="00C84A8D" w:rsidRPr="00CF35CB" w:rsidSect="00034616">
      <w:pgSz w:w="12240" w:h="15840"/>
      <w:pgMar w:top="1134" w:right="1304"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634208533">
    <w:abstractNumId w:val="8"/>
  </w:num>
  <w:num w:numId="2" w16cid:durableId="152839370">
    <w:abstractNumId w:val="6"/>
  </w:num>
  <w:num w:numId="3" w16cid:durableId="715859868">
    <w:abstractNumId w:val="5"/>
  </w:num>
  <w:num w:numId="4" w16cid:durableId="2078934850">
    <w:abstractNumId w:val="4"/>
  </w:num>
  <w:num w:numId="5" w16cid:durableId="1424839623">
    <w:abstractNumId w:val="7"/>
  </w:num>
  <w:num w:numId="6" w16cid:durableId="579218005">
    <w:abstractNumId w:val="3"/>
  </w:num>
  <w:num w:numId="7" w16cid:durableId="1620529052">
    <w:abstractNumId w:val="2"/>
  </w:num>
  <w:num w:numId="8" w16cid:durableId="1478954919">
    <w:abstractNumId w:val="1"/>
  </w:num>
  <w:num w:numId="9" w16cid:durableId="1247690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00C35"/>
    <w:rsid w:val="0015074B"/>
    <w:rsid w:val="0029639D"/>
    <w:rsid w:val="00326F90"/>
    <w:rsid w:val="007B534A"/>
    <w:rsid w:val="00880C75"/>
    <w:rsid w:val="00891B21"/>
    <w:rsid w:val="009B6DA6"/>
    <w:rsid w:val="00AA1D8D"/>
    <w:rsid w:val="00AB0CC3"/>
    <w:rsid w:val="00B12CE2"/>
    <w:rsid w:val="00B47730"/>
    <w:rsid w:val="00B95D69"/>
    <w:rsid w:val="00C84A8D"/>
    <w:rsid w:val="00CB0664"/>
    <w:rsid w:val="00CF35CB"/>
    <w:rsid w:val="00D05266"/>
    <w:rsid w:val="00E3315E"/>
    <w:rsid w:val="00F12881"/>
    <w:rsid w:val="00FA4BF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C48A2E"/>
  <w14:defaultImageDpi w14:val="300"/>
  <w15:docId w15:val="{6D75BC45-514B-4EE2-949B-91DF3013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CD4E5B1CAEF2145B65BCE2F64AAD725" ma:contentTypeVersion="11" ma:contentTypeDescription="Crear nuevo documento." ma:contentTypeScope="" ma:versionID="a446bdde9cbf83fcd0092f0b5f34ba20">
  <xsd:schema xmlns:xsd="http://www.w3.org/2001/XMLSchema" xmlns:xs="http://www.w3.org/2001/XMLSchema" xmlns:p="http://schemas.microsoft.com/office/2006/metadata/properties" xmlns:ns2="f87f2868-da66-4b0d-b0d7-aa1d98d74bea" xmlns:ns3="2f66b90d-1ab3-45f1-ba41-cbd13e922a1b" targetNamespace="http://schemas.microsoft.com/office/2006/metadata/properties" ma:root="true" ma:fieldsID="2baff3bd6e4f2bfbc359e3427d920982" ns2:_="" ns3:_="">
    <xsd:import namespace="f87f2868-da66-4b0d-b0d7-aa1d98d74bea"/>
    <xsd:import namespace="2f66b90d-1ab3-45f1-ba41-cbd13e922a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f2868-da66-4b0d-b0d7-aa1d98d74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a9140fb9-92a6-4db3-9538-baf718f7e9c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66b90d-1ab3-45f1-ba41-cbd13e922a1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f3afd6d-95c9-47c9-8b9f-36e4968122d4}" ma:internalName="TaxCatchAll" ma:showField="CatchAllData" ma:web="2f66b90d-1ab3-45f1-ba41-cbd13e922a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66b90d-1ab3-45f1-ba41-cbd13e922a1b" xsi:nil="true"/>
    <lcf76f155ced4ddcb4097134ff3c332f xmlns="f87f2868-da66-4b0d-b0d7-aa1d98d74b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38E891CF-B188-4BDC-A8D8-8F2B65973DAF}"/>
</file>

<file path=customXml/itemProps3.xml><?xml version="1.0" encoding="utf-8"?>
<ds:datastoreItem xmlns:ds="http://schemas.openxmlformats.org/officeDocument/2006/customXml" ds:itemID="{E227FDC5-A1AB-47AB-87C6-527797C0B57C}"/>
</file>

<file path=customXml/itemProps4.xml><?xml version="1.0" encoding="utf-8"?>
<ds:datastoreItem xmlns:ds="http://schemas.openxmlformats.org/officeDocument/2006/customXml" ds:itemID="{D039E2AB-8C19-41F3-B846-40A16AE395F8}"/>
</file>

<file path=docProps/app.xml><?xml version="1.0" encoding="utf-8"?>
<Properties xmlns="http://schemas.openxmlformats.org/officeDocument/2006/extended-properties" xmlns:vt="http://schemas.openxmlformats.org/officeDocument/2006/docPropsVTypes">
  <Template>Normal.dotm</Template>
  <TotalTime>0</TotalTime>
  <Pages>10</Pages>
  <Words>4362</Words>
  <Characters>23997</Characters>
  <Application>Microsoft Office Word</Application>
  <DocSecurity>0</DocSecurity>
  <Lines>199</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Fabián Medel</dc:creator>
  <cp:keywords/>
  <dc:description>generated by python-docx</dc:description>
  <cp:lastModifiedBy>Fabián Medel (fabian.medel)</cp:lastModifiedBy>
  <cp:revision>3</cp:revision>
  <dcterms:created xsi:type="dcterms:W3CDTF">2026-08-05T17:45:00Z</dcterms:created>
  <dcterms:modified xsi:type="dcterms:W3CDTF">2026-08-05T17:45:00Z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0x0101000CD4E5B1CAEF2145B65BCE2F64AAD725</vt:lpwstr>
  </property>
</Properties>
</file>